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2"/>
          <w:szCs w:val="22"/>
          <w:bdr w:val="none" w:color="auto" w:sz="0" w:space="0"/>
          <w:shd w:val="clear" w:fill="FFFFFF"/>
        </w:rPr>
        <w:t>关于停征、免征和调整部分行政事业性收费有关政策的通知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2"/>
          <w:szCs w:val="22"/>
          <w:bdr w:val="none" w:color="auto" w:sz="0" w:space="0"/>
          <w:shd w:val="clear" w:fill="FFFFFF"/>
        </w:rPr>
        <w:t>财税[2018]37号    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2018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12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公安部、证监会、国家知识产权局，各省、自治区、直辖市财政厅（局）、发展改革委、物价局，新疆生产建设兵团财政局：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　　为进一步减轻社会负担，促进实体经济发展，现就停征、免征和调整部分行政事业性收费有关政策通知如下：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　　一、自2018年4月1日起，停征首次申领居民身份证工本费。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　　二、自2018年1月1日至2020年12月31日，暂免征收证券期货行业机构监管费。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　　三、自2018年8月1日起，停征专利收费（国内部分）中的专利登记费、公告印刷费、著录事项变更费（专利代理机构、代理人委托关系的变更），PCT（《专利合作条约》）专利申请收费（国际阶段部分）中的传送费；对符合条件的申请人，专利年费的减缴期限由自授予专利权当年起6年内，延长至10年内；对符合条件的发明专利申请，在第一次审查意见通知书答复期限届满前（已提交答复意见的除外），主动申请撤回的，允许退还50%的专利申请实质审查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　　四、上述收费的清欠收入，按照财政部门规定的渠道全额上缴中央和地方国库。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　　五、各级财政部门要切实做好经费保障工作，妥善安排相关部门和单位预算，保障其依法履行职责。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　　六、各地区、各有关部门和单位要严格执行本通知规定，及时制定出台相关配套措施，确保相关政策落实到位。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财政部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国家发展改革委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2018年4月12日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0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578</Characters>
  <Lines>0</Lines>
  <Paragraphs>0</Paragraphs>
  <TotalTime>0</TotalTime>
  <ScaleCrop>false</ScaleCrop>
  <LinksUpToDate>false</LinksUpToDate>
  <CharactersWithSpaces>599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2022-04-25T07:30:51Z</dcterms:created>
  <dc:creator>Administrator</dc:creator>
  <cp:lastModifiedBy>杨新颖</cp:lastModifiedBy>
  <dcterms:modified xsi:type="dcterms:W3CDTF">2022-04-25T07:30:59Z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735B3A280F00453AAE51A75BE7612C75</vt:lpwstr>
  </property>
</Properties>
</file>