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lang w:eastAsia="zh-CN"/>
        </w:rPr>
        <w:t>2021年</w:t>
      </w:r>
      <w:r>
        <w:rPr>
          <w:rFonts w:hint="eastAsia" w:ascii="黑体" w:hAnsi="黑体" w:eastAsia="黑体" w:cs="黑体"/>
          <w:sz w:val="52"/>
          <w:szCs w:val="52"/>
        </w:rPr>
        <w:t>度</w:t>
      </w:r>
    </w:p>
    <w:p>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三门峡市创新发展中心</w:t>
      </w:r>
    </w:p>
    <w:p>
      <w:pPr>
        <w:jc w:val="center"/>
        <w:rPr>
          <w:rFonts w:hint="eastAsia" w:ascii="黑体" w:hAnsi="黑体" w:eastAsia="黑体" w:cs="黑体"/>
          <w:sz w:val="52"/>
          <w:szCs w:val="52"/>
        </w:rPr>
      </w:pPr>
      <w:r>
        <w:rPr>
          <w:rFonts w:hint="eastAsia" w:ascii="黑体" w:hAnsi="黑体" w:eastAsia="黑体" w:cs="黑体"/>
          <w:sz w:val="52"/>
          <w:szCs w:val="52"/>
        </w:rPr>
        <w:t>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w:t>
      </w: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三门峡市创新发展中心</w:t>
      </w:r>
      <w:r>
        <w:rPr>
          <w:rFonts w:hint="eastAsia" w:ascii="黑体" w:hAnsi="黑体" w:eastAsia="黑体" w:cs="黑体"/>
          <w:sz w:val="32"/>
          <w:szCs w:val="32"/>
        </w:rPr>
        <w:t>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2021年</w:t>
      </w:r>
      <w:r>
        <w:rPr>
          <w:rFonts w:hint="eastAsia" w:ascii="黑体" w:hAnsi="黑体" w:eastAsia="黑体" w:cs="黑体"/>
          <w:sz w:val="32"/>
          <w:szCs w:val="32"/>
        </w:rPr>
        <w:t>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hint="eastAsia" w:ascii="宋体" w:hAnsi="宋体" w:cs="宋体"/>
          <w:sz w:val="32"/>
          <w:szCs w:val="32"/>
        </w:rPr>
      </w:pPr>
      <w:r>
        <w:rPr>
          <w:rFonts w:hint="eastAsia" w:ascii="宋体" w:hAnsi="宋体" w:cs="宋体"/>
          <w:sz w:val="32"/>
          <w:szCs w:val="32"/>
        </w:rPr>
        <w:t>三、支出决算表</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hint="eastAsia" w:ascii="宋体" w:hAnsi="宋体" w:cs="宋体"/>
          <w:sz w:val="32"/>
          <w:szCs w:val="32"/>
        </w:rPr>
      </w:pPr>
      <w:r>
        <w:rPr>
          <w:rFonts w:hint="eastAsia" w:ascii="宋体" w:hAnsi="宋体" w:cs="宋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hint="eastAsia" w:ascii="黑体" w:hAnsi="黑体" w:eastAsia="黑体" w:cs="黑体"/>
          <w:sz w:val="32"/>
          <w:szCs w:val="32"/>
          <w:lang w:eastAsia="zh-CN"/>
        </w:rPr>
        <w:t>2021年</w:t>
      </w:r>
      <w:r>
        <w:rPr>
          <w:rFonts w:hint="eastAsia" w:ascii="黑体" w:hAnsi="黑体" w:eastAsia="黑体" w:cs="黑体"/>
          <w:sz w:val="32"/>
          <w:szCs w:val="32"/>
        </w:rPr>
        <w:t>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宋体" w:hAnsi="宋体" w:cs="宋体"/>
          <w:sz w:val="32"/>
          <w:szCs w:val="32"/>
        </w:rPr>
      </w:pPr>
    </w:p>
    <w:p>
      <w:pPr>
        <w:jc w:val="left"/>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第一部分  </w:t>
      </w:r>
      <w:r>
        <w:rPr>
          <w:rFonts w:hint="eastAsia" w:ascii="黑体" w:hAnsi="黑体" w:eastAsia="黑体" w:cs="黑体"/>
          <w:sz w:val="48"/>
          <w:szCs w:val="48"/>
          <w:lang w:eastAsia="zh-CN"/>
        </w:rPr>
        <w:t>三门峡市创新发展中心</w:t>
      </w:r>
      <w:r>
        <w:rPr>
          <w:rFonts w:hint="eastAsia" w:ascii="黑体" w:hAnsi="黑体" w:eastAsia="黑体" w:cs="黑体"/>
          <w:sz w:val="48"/>
          <w:szCs w:val="48"/>
        </w:rPr>
        <w:t>概况</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三门峡市创新发展中心的主要职责是加强院地院企合作，促进科技成果转移转化，培育创新主体、配置创新资源等。</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宋体" w:eastAsia="仿宋_GB2312" w:cs="宋体"/>
          <w:kern w:val="0"/>
          <w:sz w:val="32"/>
          <w:szCs w:val="32"/>
        </w:rPr>
        <w:t>三门峡市创新发展中心</w:t>
      </w:r>
      <w:r>
        <w:rPr>
          <w:rFonts w:hint="eastAsia" w:ascii="仿宋_GB2312" w:hAnsi="宋体" w:eastAsia="仿宋_GB2312" w:cs="宋体"/>
          <w:kern w:val="0"/>
          <w:sz w:val="32"/>
          <w:szCs w:val="32"/>
          <w:lang w:val="en-US" w:eastAsia="zh-CN"/>
        </w:rPr>
        <w:t>无内设机构。</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从决算单位构成看，三门峡市</w:t>
      </w:r>
      <w:r>
        <w:rPr>
          <w:rFonts w:hint="eastAsia" w:ascii="仿宋_GB2312" w:hAnsi="仿宋_GB2312" w:eastAsia="仿宋_GB2312" w:cs="仿宋_GB2312"/>
          <w:kern w:val="0"/>
          <w:sz w:val="32"/>
          <w:szCs w:val="32"/>
          <w:lang w:val="en-US" w:eastAsia="zh-CN"/>
        </w:rPr>
        <w:t>创新发展</w:t>
      </w:r>
      <w:r>
        <w:rPr>
          <w:rFonts w:hint="eastAsia" w:ascii="仿宋_GB2312" w:hAnsi="仿宋_GB2312" w:eastAsia="仿宋_GB2312" w:cs="仿宋_GB2312"/>
          <w:kern w:val="0"/>
          <w:sz w:val="32"/>
          <w:szCs w:val="32"/>
        </w:rPr>
        <w:t>中心部门决算包括：本级决算、所属单位决算。2021 年度，单位事业编制12 名，年末在职实有人员</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名。</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纳入本部门 2021 年度部门决算编制范围的单位共1个。</w:t>
      </w: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 xml:space="preserve">第二部分  </w:t>
      </w:r>
      <w:r>
        <w:rPr>
          <w:rFonts w:hint="eastAsia" w:ascii="黑体" w:hAnsi="黑体" w:eastAsia="黑体" w:cs="黑体"/>
          <w:sz w:val="48"/>
          <w:szCs w:val="48"/>
          <w:lang w:eastAsia="zh-CN"/>
        </w:rPr>
        <w:t>2021年</w:t>
      </w:r>
      <w:r>
        <w:rPr>
          <w:rFonts w:hint="eastAsia" w:ascii="黑体" w:hAnsi="黑体" w:eastAsia="黑体" w:cs="黑体"/>
          <w:sz w:val="48"/>
          <w:szCs w:val="48"/>
        </w:rPr>
        <w:t>度部门决算表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4"/>
        <w:tblW w:w="13459" w:type="dxa"/>
        <w:tblInd w:w="0" w:type="dxa"/>
        <w:shd w:val="clear" w:color="auto" w:fill="auto"/>
        <w:tblLayout w:type="fixed"/>
        <w:tblCellMar>
          <w:top w:w="0" w:type="dxa"/>
          <w:left w:w="0" w:type="dxa"/>
          <w:bottom w:w="0" w:type="dxa"/>
          <w:right w:w="0" w:type="dxa"/>
        </w:tblCellMar>
      </w:tblPr>
      <w:tblGrid>
        <w:gridCol w:w="4662"/>
        <w:gridCol w:w="664"/>
        <w:gridCol w:w="2433"/>
        <w:gridCol w:w="2278"/>
        <w:gridCol w:w="272"/>
        <w:gridCol w:w="392"/>
        <w:gridCol w:w="283"/>
        <w:gridCol w:w="2460"/>
        <w:gridCol w:w="15"/>
      </w:tblGrid>
      <w:tr>
        <w:tblPrEx>
          <w:tblCellMar>
            <w:top w:w="0" w:type="dxa"/>
            <w:left w:w="0" w:type="dxa"/>
            <w:bottom w:w="0" w:type="dxa"/>
            <w:right w:w="0" w:type="dxa"/>
          </w:tblCellMar>
        </w:tblPrEx>
        <w:trPr>
          <w:gridAfter w:val="1"/>
          <w:wAfter w:w="15" w:type="dxa"/>
          <w:trHeight w:val="375" w:hRule="atLeast"/>
        </w:trPr>
        <w:tc>
          <w:tcPr>
            <w:tcW w:w="13444" w:type="dxa"/>
            <w:gridSpan w:val="8"/>
            <w:vMerge w:val="restart"/>
            <w:tcBorders>
              <w:top w:val="nil"/>
              <w:left w:val="nil"/>
              <w:bottom w:val="nil"/>
              <w:right w:val="single" w:color="80808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36"/>
                <w:szCs w:val="36"/>
                <w:u w:val="none"/>
              </w:rPr>
            </w:pPr>
            <w:r>
              <w:rPr>
                <w:rFonts w:hint="eastAsia" w:ascii="黑体" w:hAnsi="宋体" w:eastAsia="黑体" w:cs="黑体"/>
                <w:i w:val="0"/>
                <w:color w:val="000000"/>
                <w:kern w:val="0"/>
                <w:sz w:val="36"/>
                <w:szCs w:val="36"/>
                <w:u w:val="none"/>
                <w:lang w:val="en-US" w:eastAsia="zh-CN" w:bidi="ar"/>
              </w:rPr>
              <w:t>收入支出决算总表</w:t>
            </w:r>
          </w:p>
        </w:tc>
      </w:tr>
      <w:tr>
        <w:tblPrEx>
          <w:shd w:val="clear" w:color="auto" w:fill="auto"/>
          <w:tblCellMar>
            <w:top w:w="0" w:type="dxa"/>
            <w:left w:w="0" w:type="dxa"/>
            <w:bottom w:w="0" w:type="dxa"/>
            <w:right w:w="0" w:type="dxa"/>
          </w:tblCellMar>
        </w:tblPrEx>
        <w:trPr>
          <w:gridAfter w:val="1"/>
          <w:wAfter w:w="15" w:type="dxa"/>
          <w:trHeight w:val="312" w:hRule="atLeast"/>
        </w:trPr>
        <w:tc>
          <w:tcPr>
            <w:tcW w:w="13444" w:type="dxa"/>
            <w:gridSpan w:val="8"/>
            <w:vMerge w:val="continue"/>
            <w:tcBorders>
              <w:top w:val="nil"/>
              <w:left w:val="nil"/>
              <w:bottom w:val="nil"/>
              <w:right w:val="single" w:color="80808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黑体" w:hAnsi="宋体" w:eastAsia="黑体" w:cs="黑体"/>
                <w:i w:val="0"/>
                <w:color w:val="000000"/>
                <w:sz w:val="36"/>
                <w:szCs w:val="36"/>
                <w:u w:val="none"/>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66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243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2278"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664"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2743" w:type="dxa"/>
            <w:gridSpan w:val="2"/>
            <w:tcBorders>
              <w:top w:val="nil"/>
              <w:left w:val="nil"/>
              <w:bottom w:val="nil"/>
              <w:right w:val="single" w:color="80808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Arial"/>
                <w:color w:val="000000"/>
                <w:kern w:val="0"/>
                <w:sz w:val="20"/>
                <w:szCs w:val="20"/>
                <w:lang w:val="en-US" w:eastAsia="zh-CN" w:bidi="ar"/>
              </w:rPr>
              <w:t>三门峡市创新发展中心</w:t>
            </w:r>
          </w:p>
        </w:tc>
        <w:tc>
          <w:tcPr>
            <w:tcW w:w="664"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2433"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2278"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664"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w:t>
            </w:r>
          </w:p>
        </w:tc>
        <w:tc>
          <w:tcPr>
            <w:tcW w:w="2743" w:type="dxa"/>
            <w:gridSpan w:val="2"/>
            <w:tcBorders>
              <w:top w:val="nil"/>
              <w:left w:val="nil"/>
              <w:bottom w:val="single" w:color="808080" w:sz="4" w:space="0"/>
              <w:right w:val="single" w:color="80808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After w:val="1"/>
          <w:wAfter w:w="15" w:type="dxa"/>
          <w:trHeight w:val="300" w:hRule="atLeast"/>
        </w:trPr>
        <w:tc>
          <w:tcPr>
            <w:tcW w:w="7759" w:type="dxa"/>
            <w:gridSpan w:val="3"/>
            <w:tcBorders>
              <w:top w:val="single" w:color="80808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收入</w:t>
            </w:r>
          </w:p>
        </w:tc>
        <w:tc>
          <w:tcPr>
            <w:tcW w:w="5685" w:type="dxa"/>
            <w:gridSpan w:val="5"/>
            <w:tcBorders>
              <w:top w:val="single" w:color="80808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支出</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一、一般公共预算财政拨款收入</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126.36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32</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二、政府性基金预算财政拨款收入</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33</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三、上级补助收入</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34</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四、事业收入</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35</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五、经营收入</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36</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六、附属单位上缴收入</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37</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105.56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七、其他收入</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38</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39</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8.36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40</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6.14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41</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iCs w:val="0"/>
                <w:color w:val="000000"/>
                <w:kern w:val="0"/>
                <w:sz w:val="22"/>
                <w:szCs w:val="22"/>
                <w:u w:val="none"/>
                <w:lang w:val="en-US" w:eastAsia="zh-CN" w:bidi="ar"/>
              </w:rPr>
              <w:t>十一、城乡社区支出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42</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43</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5" w:type="dxa"/>
          <w:trHeight w:val="9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13</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14</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15</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16</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shd w:val="clear" w:color="auto" w:fill="auto"/>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17</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18</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19</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6.30</w:t>
            </w:r>
          </w:p>
        </w:tc>
      </w:tr>
      <w:tr>
        <w:tblPrEx>
          <w:shd w:val="clear" w:color="auto" w:fill="auto"/>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21</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shd w:val="clear" w:color="auto" w:fill="auto"/>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22</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23</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24</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shd w:val="clear" w:color="auto" w:fill="auto"/>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25</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26</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本年收入合计</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27</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126.36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58</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126.36　</w:t>
            </w:r>
          </w:p>
        </w:tc>
      </w:tr>
      <w:tr>
        <w:tblPrEx>
          <w:shd w:val="clear" w:color="auto" w:fill="auto"/>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用事业基金弥补收支差额</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28</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结余分配</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59</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年初结转和结余</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29</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60</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30</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auto"/>
                <w:sz w:val="20"/>
                <w:szCs w:val="20"/>
                <w:u w:val="none"/>
              </w:rPr>
            </w:pP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61</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CellMar>
            <w:top w:w="0" w:type="dxa"/>
            <w:left w:w="0" w:type="dxa"/>
            <w:bottom w:w="0" w:type="dxa"/>
            <w:right w:w="0" w:type="dxa"/>
          </w:tblCellMar>
        </w:tblPrEx>
        <w:trPr>
          <w:gridAfter w:val="1"/>
          <w:wAfter w:w="15" w:type="dxa"/>
          <w:trHeight w:val="300" w:hRule="atLeast"/>
        </w:trPr>
        <w:tc>
          <w:tcPr>
            <w:tcW w:w="46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6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31</w:t>
            </w:r>
          </w:p>
        </w:tc>
        <w:tc>
          <w:tcPr>
            <w:tcW w:w="2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126.36　</w:t>
            </w:r>
          </w:p>
        </w:tc>
        <w:tc>
          <w:tcPr>
            <w:tcW w:w="255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2"/>
                <w:szCs w:val="22"/>
                <w:u w:val="none"/>
                <w:lang w:val="en-US" w:eastAsia="zh-CN" w:bidi="ar"/>
              </w:rPr>
              <w:t>62</w:t>
            </w:r>
          </w:p>
        </w:tc>
        <w:tc>
          <w:tcPr>
            <w:tcW w:w="2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126.36　</w:t>
            </w:r>
          </w:p>
        </w:tc>
      </w:tr>
      <w:tr>
        <w:tblPrEx>
          <w:tblCellMar>
            <w:top w:w="0" w:type="dxa"/>
            <w:left w:w="0" w:type="dxa"/>
            <w:bottom w:w="0" w:type="dxa"/>
            <w:right w:w="0" w:type="dxa"/>
          </w:tblCellMar>
        </w:tblPrEx>
        <w:trPr>
          <w:trHeight w:val="300" w:hRule="atLeast"/>
        </w:trPr>
        <w:tc>
          <w:tcPr>
            <w:tcW w:w="13459"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480" w:type="dxa"/>
        <w:tblInd w:w="0" w:type="dxa"/>
        <w:tblLayout w:type="fixed"/>
        <w:tblCellMar>
          <w:top w:w="0" w:type="dxa"/>
          <w:left w:w="0" w:type="dxa"/>
          <w:bottom w:w="0" w:type="dxa"/>
          <w:right w:w="0" w:type="dxa"/>
        </w:tblCellMar>
      </w:tblPr>
      <w:tblGrid>
        <w:gridCol w:w="1038"/>
        <w:gridCol w:w="90"/>
        <w:gridCol w:w="2855"/>
        <w:gridCol w:w="1000"/>
        <w:gridCol w:w="90"/>
        <w:gridCol w:w="477"/>
        <w:gridCol w:w="1042"/>
        <w:gridCol w:w="48"/>
        <w:gridCol w:w="477"/>
        <w:gridCol w:w="1090"/>
        <w:gridCol w:w="730"/>
        <w:gridCol w:w="968"/>
        <w:gridCol w:w="122"/>
        <w:gridCol w:w="224"/>
        <w:gridCol w:w="275"/>
        <w:gridCol w:w="586"/>
        <w:gridCol w:w="229"/>
        <w:gridCol w:w="479"/>
        <w:gridCol w:w="535"/>
        <w:gridCol w:w="175"/>
        <w:gridCol w:w="950"/>
      </w:tblGrid>
      <w:tr>
        <w:tblPrEx>
          <w:tblCellMar>
            <w:top w:w="0" w:type="dxa"/>
            <w:left w:w="0" w:type="dxa"/>
            <w:bottom w:w="0" w:type="dxa"/>
            <w:right w:w="0" w:type="dxa"/>
          </w:tblCellMar>
        </w:tblPrEx>
        <w:trPr>
          <w:trHeight w:val="90" w:hRule="atLeast"/>
        </w:trPr>
        <w:tc>
          <w:tcPr>
            <w:tcW w:w="13480" w:type="dxa"/>
            <w:gridSpan w:val="21"/>
            <w:tcBorders>
              <w:top w:val="nil"/>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收入决算表</w:t>
            </w:r>
          </w:p>
        </w:tc>
      </w:tr>
      <w:tr>
        <w:tblPrEx>
          <w:tblCellMar>
            <w:top w:w="0" w:type="dxa"/>
            <w:left w:w="0" w:type="dxa"/>
            <w:bottom w:w="0" w:type="dxa"/>
            <w:right w:w="0" w:type="dxa"/>
          </w:tblCellMar>
        </w:tblPrEx>
        <w:trPr>
          <w:trHeight w:val="90" w:hRule="atLeast"/>
        </w:trPr>
        <w:tc>
          <w:tcPr>
            <w:tcW w:w="1038"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9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3855"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9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567"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567"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820"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314" w:type="dxa"/>
            <w:gridSpan w:val="4"/>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89"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950"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trHeight w:val="90" w:hRule="atLeast"/>
        </w:trPr>
        <w:tc>
          <w:tcPr>
            <w:tcW w:w="3983"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三门峡市创新发展中心</w:t>
            </w:r>
          </w:p>
        </w:tc>
        <w:tc>
          <w:tcPr>
            <w:tcW w:w="1567"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567"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820"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314"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569" w:type="dxa"/>
            <w:gridSpan w:val="4"/>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660"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90" w:hRule="atLeast"/>
        </w:trPr>
        <w:tc>
          <w:tcPr>
            <w:tcW w:w="4983"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609"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本年收入合计</w:t>
            </w:r>
          </w:p>
        </w:tc>
        <w:tc>
          <w:tcPr>
            <w:tcW w:w="2345" w:type="dxa"/>
            <w:gridSpan w:val="4"/>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财政拨款收入</w:t>
            </w:r>
          </w:p>
        </w:tc>
        <w:tc>
          <w:tcPr>
            <w:tcW w:w="968"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上级补助收入</w:t>
            </w:r>
          </w:p>
        </w:tc>
        <w:tc>
          <w:tcPr>
            <w:tcW w:w="621"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事业收入</w:t>
            </w:r>
          </w:p>
        </w:tc>
        <w:tc>
          <w:tcPr>
            <w:tcW w:w="586"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经营收入</w:t>
            </w:r>
          </w:p>
        </w:tc>
        <w:tc>
          <w:tcPr>
            <w:tcW w:w="1243"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附属单位上缴收入</w:t>
            </w:r>
          </w:p>
        </w:tc>
        <w:tc>
          <w:tcPr>
            <w:tcW w:w="1125" w:type="dxa"/>
            <w:gridSpan w:val="2"/>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其他收入</w:t>
            </w:r>
          </w:p>
        </w:tc>
      </w:tr>
      <w:tr>
        <w:tblPrEx>
          <w:tblCellMar>
            <w:top w:w="0" w:type="dxa"/>
            <w:left w:w="0" w:type="dxa"/>
            <w:bottom w:w="0" w:type="dxa"/>
            <w:right w:w="0" w:type="dxa"/>
          </w:tblCellMar>
        </w:tblPrEx>
        <w:trPr>
          <w:trHeight w:val="312" w:hRule="atLeast"/>
        </w:trPr>
        <w:tc>
          <w:tcPr>
            <w:tcW w:w="1128"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385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60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2345"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968"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62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586"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43"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25"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12" w:hRule="atLeast"/>
        </w:trPr>
        <w:tc>
          <w:tcPr>
            <w:tcW w:w="1128"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385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609"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2345"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968"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621"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586"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43"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25" w:type="dxa"/>
            <w:gridSpan w:val="2"/>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4983"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345"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9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2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4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25"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r>
      <w:tr>
        <w:tblPrEx>
          <w:tblCellMar>
            <w:top w:w="0" w:type="dxa"/>
            <w:left w:w="0" w:type="dxa"/>
            <w:bottom w:w="0" w:type="dxa"/>
            <w:right w:w="0" w:type="dxa"/>
          </w:tblCellMar>
        </w:tblPrEx>
        <w:trPr>
          <w:trHeight w:val="90" w:hRule="atLeast"/>
        </w:trPr>
        <w:tc>
          <w:tcPr>
            <w:tcW w:w="4983"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6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126.36</w:t>
            </w:r>
          </w:p>
        </w:tc>
        <w:tc>
          <w:tcPr>
            <w:tcW w:w="23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126.36</w:t>
            </w:r>
          </w:p>
        </w:tc>
        <w:tc>
          <w:tcPr>
            <w:tcW w:w="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206</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科学技术支出</w:t>
            </w:r>
          </w:p>
        </w:tc>
        <w:tc>
          <w:tcPr>
            <w:tcW w:w="16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105.56</w:t>
            </w:r>
          </w:p>
        </w:tc>
        <w:tc>
          <w:tcPr>
            <w:tcW w:w="23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105.56</w:t>
            </w:r>
          </w:p>
        </w:tc>
        <w:tc>
          <w:tcPr>
            <w:tcW w:w="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20602</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基础研究</w:t>
            </w:r>
          </w:p>
        </w:tc>
        <w:tc>
          <w:tcPr>
            <w:tcW w:w="16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105.56</w:t>
            </w:r>
          </w:p>
        </w:tc>
        <w:tc>
          <w:tcPr>
            <w:tcW w:w="23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105.56</w:t>
            </w:r>
          </w:p>
        </w:tc>
        <w:tc>
          <w:tcPr>
            <w:tcW w:w="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2060201</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机构运行</w:t>
            </w:r>
          </w:p>
        </w:tc>
        <w:tc>
          <w:tcPr>
            <w:tcW w:w="16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105.56</w:t>
            </w:r>
          </w:p>
        </w:tc>
        <w:tc>
          <w:tcPr>
            <w:tcW w:w="23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105.56</w:t>
            </w:r>
          </w:p>
        </w:tc>
        <w:tc>
          <w:tcPr>
            <w:tcW w:w="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lang w:val="en-US"/>
              </w:rPr>
            </w:pPr>
            <w:r>
              <w:rPr>
                <w:rFonts w:hint="eastAsia" w:ascii="宋体" w:hAnsi="宋体" w:eastAsia="宋体" w:cs="宋体"/>
                <w:i w:val="0"/>
                <w:iCs w:val="0"/>
                <w:color w:val="000000"/>
                <w:kern w:val="0"/>
                <w:sz w:val="20"/>
                <w:szCs w:val="20"/>
                <w:u w:val="none"/>
                <w:lang w:val="en-US" w:eastAsia="zh-CN" w:bidi="ar"/>
              </w:rPr>
              <w:t>8.36</w:t>
            </w:r>
          </w:p>
        </w:tc>
        <w:tc>
          <w:tcPr>
            <w:tcW w:w="23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8.36</w:t>
            </w:r>
          </w:p>
        </w:tc>
        <w:tc>
          <w:tcPr>
            <w:tcW w:w="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20805</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8.36</w:t>
            </w:r>
          </w:p>
        </w:tc>
        <w:tc>
          <w:tcPr>
            <w:tcW w:w="234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8.36</w:t>
            </w:r>
          </w:p>
        </w:tc>
        <w:tc>
          <w:tcPr>
            <w:tcW w:w="9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385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0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8.36</w:t>
            </w:r>
          </w:p>
        </w:tc>
        <w:tc>
          <w:tcPr>
            <w:tcW w:w="2345"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8.36</w:t>
            </w:r>
          </w:p>
        </w:tc>
        <w:tc>
          <w:tcPr>
            <w:tcW w:w="96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210</w:t>
            </w:r>
          </w:p>
        </w:tc>
        <w:tc>
          <w:tcPr>
            <w:tcW w:w="385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卫生健康支出</w:t>
            </w:r>
          </w:p>
        </w:tc>
        <w:tc>
          <w:tcPr>
            <w:tcW w:w="160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6.14</w:t>
            </w:r>
          </w:p>
        </w:tc>
        <w:tc>
          <w:tcPr>
            <w:tcW w:w="2345"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6.14</w:t>
            </w:r>
          </w:p>
        </w:tc>
        <w:tc>
          <w:tcPr>
            <w:tcW w:w="96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21011</w:t>
            </w:r>
          </w:p>
        </w:tc>
        <w:tc>
          <w:tcPr>
            <w:tcW w:w="385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行政事业单位医疗</w:t>
            </w:r>
          </w:p>
        </w:tc>
        <w:tc>
          <w:tcPr>
            <w:tcW w:w="160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6.14</w:t>
            </w:r>
          </w:p>
        </w:tc>
        <w:tc>
          <w:tcPr>
            <w:tcW w:w="2345"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6.14</w:t>
            </w:r>
          </w:p>
        </w:tc>
        <w:tc>
          <w:tcPr>
            <w:tcW w:w="96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2101102</w:t>
            </w:r>
          </w:p>
        </w:tc>
        <w:tc>
          <w:tcPr>
            <w:tcW w:w="385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事业单位医疗</w:t>
            </w:r>
          </w:p>
        </w:tc>
        <w:tc>
          <w:tcPr>
            <w:tcW w:w="160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6.14</w:t>
            </w:r>
          </w:p>
        </w:tc>
        <w:tc>
          <w:tcPr>
            <w:tcW w:w="2345"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6.14</w:t>
            </w:r>
          </w:p>
        </w:tc>
        <w:tc>
          <w:tcPr>
            <w:tcW w:w="96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221</w:t>
            </w:r>
          </w:p>
        </w:tc>
        <w:tc>
          <w:tcPr>
            <w:tcW w:w="385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住房保障支出</w:t>
            </w:r>
          </w:p>
        </w:tc>
        <w:tc>
          <w:tcPr>
            <w:tcW w:w="160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2345"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96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22102</w:t>
            </w:r>
          </w:p>
        </w:tc>
        <w:tc>
          <w:tcPr>
            <w:tcW w:w="385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住房改革支出</w:t>
            </w:r>
          </w:p>
        </w:tc>
        <w:tc>
          <w:tcPr>
            <w:tcW w:w="160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2345"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96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128"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3855"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住房公积金</w:t>
            </w:r>
          </w:p>
        </w:tc>
        <w:tc>
          <w:tcPr>
            <w:tcW w:w="1609"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2345" w:type="dxa"/>
            <w:gridSpan w:val="4"/>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96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21"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43"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25"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13480" w:type="dxa"/>
            <w:gridSpan w:val="21"/>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880" w:type="dxa"/>
        <w:tblInd w:w="0" w:type="dxa"/>
        <w:tblLayout w:type="fixed"/>
        <w:tblCellMar>
          <w:top w:w="0" w:type="dxa"/>
          <w:left w:w="0" w:type="dxa"/>
          <w:bottom w:w="0" w:type="dxa"/>
          <w:right w:w="0" w:type="dxa"/>
        </w:tblCellMar>
      </w:tblPr>
      <w:tblGrid>
        <w:gridCol w:w="1039"/>
        <w:gridCol w:w="56"/>
        <w:gridCol w:w="39"/>
        <w:gridCol w:w="4271"/>
        <w:gridCol w:w="832"/>
        <w:gridCol w:w="1673"/>
        <w:gridCol w:w="1"/>
        <w:gridCol w:w="1500"/>
        <w:gridCol w:w="167"/>
        <w:gridCol w:w="811"/>
        <w:gridCol w:w="861"/>
        <w:gridCol w:w="394"/>
        <w:gridCol w:w="1009"/>
        <w:gridCol w:w="1227"/>
      </w:tblGrid>
      <w:tr>
        <w:tblPrEx>
          <w:tblCellMar>
            <w:top w:w="0" w:type="dxa"/>
            <w:left w:w="0" w:type="dxa"/>
            <w:bottom w:w="0" w:type="dxa"/>
            <w:right w:w="0" w:type="dxa"/>
          </w:tblCellMar>
        </w:tblPrEx>
        <w:trPr>
          <w:trHeight w:val="646" w:hRule="atLeast"/>
        </w:trPr>
        <w:tc>
          <w:tcPr>
            <w:tcW w:w="13880" w:type="dxa"/>
            <w:gridSpan w:val="14"/>
            <w:tcBorders>
              <w:top w:val="nil"/>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支出决算表</w:t>
            </w:r>
          </w:p>
        </w:tc>
      </w:tr>
      <w:tr>
        <w:tblPrEx>
          <w:tblCellMar>
            <w:top w:w="0" w:type="dxa"/>
            <w:left w:w="0" w:type="dxa"/>
            <w:bottom w:w="0" w:type="dxa"/>
            <w:right w:w="0" w:type="dxa"/>
          </w:tblCellMar>
        </w:tblPrEx>
        <w:trPr>
          <w:trHeight w:val="330" w:hRule="atLeast"/>
        </w:trPr>
        <w:tc>
          <w:tcPr>
            <w:tcW w:w="103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95"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427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832"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673"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668"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672"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403"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trHeight w:val="330" w:hRule="atLeast"/>
        </w:trPr>
        <w:tc>
          <w:tcPr>
            <w:tcW w:w="5405" w:type="dxa"/>
            <w:gridSpan w:val="4"/>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default" w:ascii="宋体" w:hAnsi="宋体" w:cs="宋体" w:eastAsiaTheme="minorEastAsia"/>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三门峡市创新发展中心</w:t>
            </w:r>
          </w:p>
        </w:tc>
        <w:tc>
          <w:tcPr>
            <w:tcW w:w="832"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673"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668"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672"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403"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351" w:hRule="atLeast"/>
        </w:trPr>
        <w:tc>
          <w:tcPr>
            <w:tcW w:w="5405"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2506"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本年支出合计</w:t>
            </w:r>
          </w:p>
        </w:tc>
        <w:tc>
          <w:tcPr>
            <w:tcW w:w="1500"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97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25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上缴上级支出</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经营支出</w:t>
            </w:r>
          </w:p>
        </w:tc>
        <w:tc>
          <w:tcPr>
            <w:tcW w:w="1227"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对附属单位补助支出</w:t>
            </w:r>
          </w:p>
        </w:tc>
      </w:tr>
      <w:tr>
        <w:tblPrEx>
          <w:tblCellMar>
            <w:top w:w="0" w:type="dxa"/>
            <w:left w:w="0" w:type="dxa"/>
            <w:bottom w:w="0" w:type="dxa"/>
            <w:right w:w="0" w:type="dxa"/>
          </w:tblCellMar>
        </w:tblPrEx>
        <w:trPr>
          <w:trHeight w:val="351" w:hRule="atLeast"/>
        </w:trPr>
        <w:tc>
          <w:tcPr>
            <w:tcW w:w="1095"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431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250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50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97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5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27"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51" w:hRule="atLeast"/>
        </w:trPr>
        <w:tc>
          <w:tcPr>
            <w:tcW w:w="1095"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431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2506"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500"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97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5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27"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5405"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97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227"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341" w:hRule="atLeast"/>
        </w:trPr>
        <w:tc>
          <w:tcPr>
            <w:tcW w:w="5405"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25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 xml:space="preserve">126.36 </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 xml:space="preserve">126.36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206</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科学技术支出</w:t>
            </w:r>
          </w:p>
        </w:tc>
        <w:tc>
          <w:tcPr>
            <w:tcW w:w="25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20602</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基础研究</w:t>
            </w:r>
          </w:p>
        </w:tc>
        <w:tc>
          <w:tcPr>
            <w:tcW w:w="25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2060201</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25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5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20805</w:t>
            </w:r>
          </w:p>
        </w:tc>
        <w:tc>
          <w:tcPr>
            <w:tcW w:w="431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5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4310"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5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15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97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210</w:t>
            </w:r>
          </w:p>
        </w:tc>
        <w:tc>
          <w:tcPr>
            <w:tcW w:w="4310"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卫生健康支出</w:t>
            </w:r>
          </w:p>
        </w:tc>
        <w:tc>
          <w:tcPr>
            <w:tcW w:w="25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15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97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21011</w:t>
            </w:r>
          </w:p>
        </w:tc>
        <w:tc>
          <w:tcPr>
            <w:tcW w:w="4310"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行政事业单位医疗</w:t>
            </w:r>
          </w:p>
        </w:tc>
        <w:tc>
          <w:tcPr>
            <w:tcW w:w="25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15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97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2101102</w:t>
            </w:r>
          </w:p>
        </w:tc>
        <w:tc>
          <w:tcPr>
            <w:tcW w:w="4310"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5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15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97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221</w:t>
            </w:r>
          </w:p>
        </w:tc>
        <w:tc>
          <w:tcPr>
            <w:tcW w:w="4310"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住房保障支出</w:t>
            </w:r>
          </w:p>
        </w:tc>
        <w:tc>
          <w:tcPr>
            <w:tcW w:w="25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15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97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22102</w:t>
            </w:r>
          </w:p>
        </w:tc>
        <w:tc>
          <w:tcPr>
            <w:tcW w:w="4310"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住房改革支出</w:t>
            </w:r>
          </w:p>
        </w:tc>
        <w:tc>
          <w:tcPr>
            <w:tcW w:w="25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15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97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41" w:hRule="atLeast"/>
        </w:trPr>
        <w:tc>
          <w:tcPr>
            <w:tcW w:w="1095"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4310"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506" w:type="dxa"/>
            <w:gridSpan w:val="3"/>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150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97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55"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00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227"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r>
      <w:tr>
        <w:tblPrEx>
          <w:tblCellMar>
            <w:top w:w="0" w:type="dxa"/>
            <w:left w:w="0" w:type="dxa"/>
            <w:bottom w:w="0" w:type="dxa"/>
            <w:right w:w="0" w:type="dxa"/>
          </w:tblCellMar>
        </w:tblPrEx>
        <w:trPr>
          <w:trHeight w:val="351" w:hRule="atLeast"/>
        </w:trPr>
        <w:tc>
          <w:tcPr>
            <w:tcW w:w="13880" w:type="dxa"/>
            <w:gridSpan w:val="14"/>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700" w:type="dxa"/>
        <w:tblInd w:w="0" w:type="dxa"/>
        <w:tblLayout w:type="fixed"/>
        <w:tblCellMar>
          <w:top w:w="0" w:type="dxa"/>
          <w:left w:w="0" w:type="dxa"/>
          <w:bottom w:w="0" w:type="dxa"/>
          <w:right w:w="0" w:type="dxa"/>
        </w:tblCellMar>
      </w:tblPr>
      <w:tblGrid>
        <w:gridCol w:w="3911"/>
        <w:gridCol w:w="705"/>
        <w:gridCol w:w="1185"/>
        <w:gridCol w:w="3329"/>
        <w:gridCol w:w="584"/>
        <w:gridCol w:w="693"/>
        <w:gridCol w:w="1315"/>
        <w:gridCol w:w="329"/>
        <w:gridCol w:w="1649"/>
      </w:tblGrid>
      <w:tr>
        <w:tblPrEx>
          <w:tblCellMar>
            <w:top w:w="0" w:type="dxa"/>
            <w:left w:w="0" w:type="dxa"/>
            <w:bottom w:w="0" w:type="dxa"/>
            <w:right w:w="0" w:type="dxa"/>
          </w:tblCellMar>
        </w:tblPrEx>
        <w:trPr>
          <w:trHeight w:val="90" w:hRule="atLeast"/>
        </w:trPr>
        <w:tc>
          <w:tcPr>
            <w:tcW w:w="13700" w:type="dxa"/>
            <w:gridSpan w:val="9"/>
            <w:tcBorders>
              <w:top w:val="nil"/>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财政拨款收入支出决算总表</w:t>
            </w:r>
          </w:p>
        </w:tc>
      </w:tr>
      <w:tr>
        <w:tblPrEx>
          <w:tblCellMar>
            <w:top w:w="0" w:type="dxa"/>
            <w:left w:w="0" w:type="dxa"/>
            <w:bottom w:w="0" w:type="dxa"/>
            <w:right w:w="0" w:type="dxa"/>
          </w:tblCellMar>
        </w:tblPrEx>
        <w:trPr>
          <w:trHeight w:val="90" w:hRule="atLeast"/>
        </w:trPr>
        <w:tc>
          <w:tcPr>
            <w:tcW w:w="391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705"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85"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332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4"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93"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315"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978"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公开04表</w:t>
            </w:r>
          </w:p>
        </w:tc>
      </w:tr>
      <w:tr>
        <w:tblPrEx>
          <w:tblCellMar>
            <w:top w:w="0" w:type="dxa"/>
            <w:left w:w="0" w:type="dxa"/>
            <w:bottom w:w="0" w:type="dxa"/>
            <w:right w:w="0" w:type="dxa"/>
          </w:tblCellMar>
        </w:tblPrEx>
        <w:trPr>
          <w:trHeight w:val="90" w:hRule="atLeast"/>
        </w:trPr>
        <w:tc>
          <w:tcPr>
            <w:tcW w:w="3911"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三门峡市创新发展中心</w:t>
            </w:r>
          </w:p>
        </w:tc>
        <w:tc>
          <w:tcPr>
            <w:tcW w:w="705"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185"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332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584"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693"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315"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cs="宋体"/>
                <w:color w:val="000000"/>
                <w:sz w:val="20"/>
                <w:szCs w:val="20"/>
              </w:rPr>
            </w:pPr>
          </w:p>
        </w:tc>
        <w:tc>
          <w:tcPr>
            <w:tcW w:w="1978" w:type="dxa"/>
            <w:gridSpan w:val="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90" w:hRule="atLeast"/>
        </w:trPr>
        <w:tc>
          <w:tcPr>
            <w:tcW w:w="5801"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7899" w:type="dxa"/>
            <w:gridSpan w:val="6"/>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w:t>
            </w:r>
          </w:p>
        </w:tc>
        <w:tc>
          <w:tcPr>
            <w:tcW w:w="3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6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一般公共预算财政拨款</w:t>
            </w:r>
          </w:p>
        </w:tc>
        <w:tc>
          <w:tcPr>
            <w:tcW w:w="164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政府性基金预算财政拨款</w:t>
            </w: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    次</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64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 xml:space="preserve">126.36 </w:t>
            </w:r>
          </w:p>
        </w:tc>
        <w:tc>
          <w:tcPr>
            <w:tcW w:w="3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33</w:t>
            </w:r>
          </w:p>
        </w:tc>
        <w:tc>
          <w:tcPr>
            <w:tcW w:w="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二、外交支出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34</w:t>
            </w:r>
          </w:p>
        </w:tc>
        <w:tc>
          <w:tcPr>
            <w:tcW w:w="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三、国防支出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35</w:t>
            </w:r>
          </w:p>
        </w:tc>
        <w:tc>
          <w:tcPr>
            <w:tcW w:w="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四、公共安全支出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36</w:t>
            </w:r>
          </w:p>
        </w:tc>
        <w:tc>
          <w:tcPr>
            <w:tcW w:w="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五、教育支出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六、科学技术支出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38</w:t>
            </w:r>
          </w:p>
        </w:tc>
        <w:tc>
          <w:tcPr>
            <w:tcW w:w="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105.56 </w:t>
            </w:r>
          </w:p>
        </w:tc>
        <w:tc>
          <w:tcPr>
            <w:tcW w:w="164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105.56 </w:t>
            </w:r>
          </w:p>
        </w:tc>
        <w:tc>
          <w:tcPr>
            <w:tcW w:w="164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8.36 </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8.36 </w:t>
            </w: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6.14 </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6.14 </w:t>
            </w: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6.30 </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6.30 </w:t>
            </w: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kern w:val="0"/>
                <w:sz w:val="20"/>
                <w:szCs w:val="20"/>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0"/>
                <w:szCs w:val="20"/>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126.36 </w:t>
            </w: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0"/>
                <w:szCs w:val="20"/>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126.36 </w:t>
            </w: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126.36 </w:t>
            </w: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60</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61</w:t>
            </w:r>
          </w:p>
        </w:tc>
        <w:tc>
          <w:tcPr>
            <w:tcW w:w="693" w:type="dxa"/>
            <w:tcBorders>
              <w:top w:val="single" w:color="000000" w:sz="4" w:space="0"/>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693" w:type="dxa"/>
            <w:tcBorders>
              <w:top w:val="single" w:color="000000" w:sz="4" w:space="0"/>
              <w:left w:val="nil"/>
              <w:bottom w:val="nil"/>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nil"/>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118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color w:val="000000"/>
                <w:sz w:val="22"/>
                <w:szCs w:val="22"/>
              </w:rPr>
            </w:pPr>
          </w:p>
        </w:tc>
        <w:tc>
          <w:tcPr>
            <w:tcW w:w="3329"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cs="宋体"/>
                <w:color w:val="000000"/>
                <w:sz w:val="20"/>
                <w:szCs w:val="20"/>
              </w:rPr>
            </w:pP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63</w:t>
            </w:r>
          </w:p>
        </w:tc>
        <w:tc>
          <w:tcPr>
            <w:tcW w:w="693" w:type="dxa"/>
            <w:tcBorders>
              <w:top w:val="single" w:color="000000" w:sz="4" w:space="0"/>
              <w:left w:val="nil"/>
              <w:bottom w:val="nil"/>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rPr>
                <w:rFonts w:hint="eastAsia" w:ascii="宋体" w:hAnsi="宋体" w:eastAsia="宋体" w:cs="宋体"/>
                <w:b w:val="0"/>
                <w:bCs w:val="0"/>
                <w:color w:val="000000"/>
                <w:sz w:val="22"/>
                <w:szCs w:val="22"/>
              </w:rPr>
            </w:pPr>
          </w:p>
        </w:tc>
        <w:tc>
          <w:tcPr>
            <w:tcW w:w="1649" w:type="dxa"/>
            <w:tcBorders>
              <w:top w:val="single" w:color="000000" w:sz="4" w:space="0"/>
              <w:left w:val="nil"/>
              <w:bottom w:val="nil"/>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90" w:hRule="atLeast"/>
        </w:trPr>
        <w:tc>
          <w:tcPr>
            <w:tcW w:w="3911"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32</w:t>
            </w:r>
          </w:p>
        </w:tc>
        <w:tc>
          <w:tcPr>
            <w:tcW w:w="1185"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126.36 </w:t>
            </w:r>
          </w:p>
        </w:tc>
        <w:tc>
          <w:tcPr>
            <w:tcW w:w="3329"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0"/>
                <w:szCs w:val="20"/>
              </w:rPr>
            </w:pPr>
            <w:r>
              <w:rPr>
                <w:rFonts w:hint="eastAsia" w:ascii="宋体" w:hAnsi="宋体" w:eastAsia="宋体" w:cs="宋体"/>
                <w:b/>
                <w:bCs/>
                <w:i w:val="0"/>
                <w:iCs w:val="0"/>
                <w:color w:val="000000"/>
                <w:kern w:val="0"/>
                <w:sz w:val="22"/>
                <w:szCs w:val="22"/>
                <w:u w:val="none"/>
                <w:lang w:val="en-US" w:eastAsia="zh-CN" w:bidi="ar"/>
              </w:rPr>
              <w:t>总计</w:t>
            </w:r>
          </w:p>
        </w:tc>
        <w:tc>
          <w:tcPr>
            <w:tcW w:w="58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64</w:t>
            </w:r>
          </w:p>
        </w:tc>
        <w:tc>
          <w:tcPr>
            <w:tcW w:w="693" w:type="dxa"/>
            <w:tcBorders>
              <w:top w:val="single" w:color="000000" w:sz="4" w:space="0"/>
              <w:left w:val="nil"/>
              <w:bottom w:val="nil"/>
              <w:right w:val="nil"/>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126.36 </w:t>
            </w:r>
          </w:p>
        </w:tc>
        <w:tc>
          <w:tcPr>
            <w:tcW w:w="1644"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val="0"/>
                <w:bCs w:val="0"/>
                <w:color w:val="000000"/>
                <w:sz w:val="22"/>
                <w:szCs w:val="22"/>
              </w:rPr>
            </w:pPr>
            <w:r>
              <w:rPr>
                <w:rFonts w:hint="eastAsia" w:ascii="宋体" w:hAnsi="宋体" w:eastAsia="宋体" w:cs="宋体"/>
                <w:b w:val="0"/>
                <w:bCs w:val="0"/>
                <w:i w:val="0"/>
                <w:iCs w:val="0"/>
                <w:color w:val="000000"/>
                <w:kern w:val="0"/>
                <w:sz w:val="22"/>
                <w:szCs w:val="22"/>
                <w:u w:val="none"/>
                <w:lang w:val="en-US" w:eastAsia="zh-CN" w:bidi="ar"/>
              </w:rPr>
              <w:t xml:space="preserve">126.36 </w:t>
            </w:r>
          </w:p>
        </w:tc>
        <w:tc>
          <w:tcPr>
            <w:tcW w:w="164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color w:val="000000"/>
                <w:sz w:val="20"/>
                <w:szCs w:val="20"/>
              </w:rPr>
            </w:pPr>
          </w:p>
        </w:tc>
      </w:tr>
      <w:tr>
        <w:tblPrEx>
          <w:tblCellMar>
            <w:top w:w="0" w:type="dxa"/>
            <w:left w:w="0" w:type="dxa"/>
            <w:bottom w:w="0" w:type="dxa"/>
            <w:right w:w="0" w:type="dxa"/>
          </w:tblCellMar>
        </w:tblPrEx>
        <w:trPr>
          <w:trHeight w:val="90" w:hRule="atLeast"/>
        </w:trPr>
        <w:tc>
          <w:tcPr>
            <w:tcW w:w="13700" w:type="dxa"/>
            <w:gridSpan w:val="9"/>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注：本表反映部门本年度一般公共预算财政拨款和政府性基金预算财政拨款的总收支和年末结转结余情况。本表金额转换为万元时，因四舍五入可能存在尾差。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988" w:type="dxa"/>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w:t>
            </w:r>
            <w:r>
              <w:rPr>
                <w:rStyle w:val="7"/>
                <w:rFonts w:hint="default"/>
                <w:lang w:bidi="ar"/>
              </w:rPr>
              <w:t>5表</w:t>
            </w:r>
          </w:p>
        </w:tc>
      </w:tr>
      <w:tr>
        <w:tblPrEx>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宋体" w:hAnsi="宋体" w:cs="宋体" w:eastAsiaTheme="minorEastAsia"/>
                <w:color w:val="000000"/>
                <w:sz w:val="20"/>
                <w:szCs w:val="20"/>
                <w:lang w:val="en-US" w:eastAsia="zh-CN"/>
              </w:rPr>
            </w:pPr>
            <w:r>
              <w:rPr>
                <w:rFonts w:hint="eastAsia" w:ascii="宋体" w:hAnsi="宋体" w:cs="宋体"/>
                <w:color w:val="000000"/>
                <w:kern w:val="0"/>
                <w:sz w:val="20"/>
                <w:szCs w:val="20"/>
                <w:lang w:bidi="ar"/>
              </w:rPr>
              <w:t>部门：</w:t>
            </w:r>
            <w:r>
              <w:rPr>
                <w:rFonts w:hint="eastAsia" w:ascii="宋体" w:hAnsi="宋体" w:cs="宋体"/>
                <w:color w:val="000000"/>
                <w:kern w:val="0"/>
                <w:sz w:val="20"/>
                <w:szCs w:val="20"/>
                <w:lang w:val="en-US" w:eastAsia="zh-CN" w:bidi="ar"/>
              </w:rPr>
              <w:t>三门峡市创新发展中心</w:t>
            </w:r>
          </w:p>
        </w:tc>
        <w:tc>
          <w:tcPr>
            <w:tcW w:w="344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3451"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项 </w:t>
            </w:r>
            <w:r>
              <w:rPr>
                <w:rStyle w:val="8"/>
                <w:rFonts w:hint="default"/>
                <w:sz w:val="20"/>
                <w:szCs w:val="20"/>
                <w:lang w:bidi="ar"/>
              </w:rPr>
              <w:t xml:space="preserve">   </w:t>
            </w:r>
            <w:r>
              <w:rPr>
                <w:rStyle w:val="9"/>
                <w:rFonts w:hint="default"/>
                <w:sz w:val="20"/>
                <w:szCs w:val="20"/>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 xml:space="preserve">126.36 </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 xml:space="preserve">126.36 </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科学技术支出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20602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基础研究</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2060201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机构运行</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105.56 </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8.36 </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210</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卫生健康支出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21011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行政事业单位医疗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2101102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6.14 </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221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住房保障支出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22102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住房改革支出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6.30 </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4013" w:type="dxa"/>
        <w:tblInd w:w="93" w:type="dxa"/>
        <w:shd w:val="clear" w:color="auto" w:fill="auto"/>
        <w:tblLayout w:type="fixed"/>
        <w:tblCellMar>
          <w:top w:w="0" w:type="dxa"/>
          <w:left w:w="108" w:type="dxa"/>
          <w:bottom w:w="0" w:type="dxa"/>
          <w:right w:w="108" w:type="dxa"/>
        </w:tblCellMar>
      </w:tblPr>
      <w:tblGrid>
        <w:gridCol w:w="860"/>
        <w:gridCol w:w="2050"/>
        <w:gridCol w:w="1935"/>
        <w:gridCol w:w="718"/>
        <w:gridCol w:w="2030"/>
        <w:gridCol w:w="716"/>
        <w:gridCol w:w="122"/>
        <w:gridCol w:w="718"/>
        <w:gridCol w:w="3830"/>
        <w:gridCol w:w="1034"/>
      </w:tblGrid>
      <w:tr>
        <w:tblPrEx>
          <w:shd w:val="clear" w:color="auto" w:fill="auto"/>
          <w:tblCellMar>
            <w:top w:w="0" w:type="dxa"/>
            <w:left w:w="108" w:type="dxa"/>
            <w:bottom w:w="0" w:type="dxa"/>
            <w:right w:w="108" w:type="dxa"/>
          </w:tblCellMar>
        </w:tblPrEx>
        <w:trPr>
          <w:trHeight w:val="450" w:hRule="atLeast"/>
        </w:trPr>
        <w:tc>
          <w:tcPr>
            <w:tcW w:w="860" w:type="dxa"/>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2"/>
                <w:szCs w:val="22"/>
                <w:lang w:val="en-US"/>
              </w:rPr>
            </w:pPr>
            <w:r>
              <w:rPr>
                <w:rFonts w:hint="eastAsia" w:ascii="宋体" w:hAnsi="宋体" w:eastAsia="宋体" w:cs="Arial"/>
                <w:kern w:val="0"/>
                <w:sz w:val="22"/>
                <w:szCs w:val="22"/>
                <w:lang w:val="en-US" w:eastAsia="zh-CN" w:bidi="ar"/>
              </w:rPr>
              <w:t>　</w:t>
            </w:r>
          </w:p>
        </w:tc>
        <w:tc>
          <w:tcPr>
            <w:tcW w:w="13153" w:type="dxa"/>
            <w:gridSpan w:val="9"/>
            <w:shd w:val="clear" w:color="auto" w:fill="FFFFFF"/>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Arial"/>
                <w:color w:val="000000"/>
                <w:kern w:val="0"/>
                <w:sz w:val="32"/>
                <w:szCs w:val="32"/>
                <w:lang w:val="en-US"/>
              </w:rPr>
            </w:pPr>
            <w:r>
              <w:rPr>
                <w:rFonts w:hint="eastAsia" w:ascii="黑体" w:hAnsi="宋体" w:eastAsia="黑体" w:cs="Arial"/>
                <w:color w:val="000000"/>
                <w:kern w:val="0"/>
                <w:sz w:val="32"/>
                <w:szCs w:val="32"/>
                <w:lang w:val="en-US" w:eastAsia="zh-CN" w:bidi="ar"/>
              </w:rPr>
              <w:t>一般公共预算财政拨款基本支出决算表</w:t>
            </w:r>
          </w:p>
        </w:tc>
      </w:tr>
      <w:tr>
        <w:tblPrEx>
          <w:tblCellMar>
            <w:top w:w="0" w:type="dxa"/>
            <w:left w:w="108" w:type="dxa"/>
            <w:bottom w:w="0" w:type="dxa"/>
            <w:right w:w="108" w:type="dxa"/>
          </w:tblCellMar>
        </w:tblPrEx>
        <w:trPr>
          <w:trHeight w:val="300" w:hRule="atLeast"/>
        </w:trPr>
        <w:tc>
          <w:tcPr>
            <w:tcW w:w="860" w:type="dxa"/>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2050" w:type="dxa"/>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1935" w:type="dxa"/>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718" w:type="dxa"/>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2030" w:type="dxa"/>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716" w:type="dxa"/>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840" w:type="dxa"/>
            <w:gridSpan w:val="2"/>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3830" w:type="dxa"/>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1034" w:type="dxa"/>
            <w:shd w:val="clear" w:color="auto" w:fill="FFFFFF"/>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公开06表</w:t>
            </w:r>
          </w:p>
        </w:tc>
      </w:tr>
      <w:tr>
        <w:tblPrEx>
          <w:shd w:val="clear" w:color="auto" w:fill="auto"/>
          <w:tblCellMar>
            <w:top w:w="0" w:type="dxa"/>
            <w:left w:w="108" w:type="dxa"/>
            <w:bottom w:w="0" w:type="dxa"/>
            <w:right w:w="108" w:type="dxa"/>
          </w:tblCellMar>
        </w:tblPrEx>
        <w:trPr>
          <w:trHeight w:val="270" w:hRule="atLeast"/>
        </w:trPr>
        <w:tc>
          <w:tcPr>
            <w:tcW w:w="4845" w:type="dxa"/>
            <w:gridSpan w:val="3"/>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color w:val="000000"/>
                <w:kern w:val="0"/>
                <w:sz w:val="20"/>
                <w:szCs w:val="20"/>
                <w:lang w:val="en-US" w:eastAsia="zh-CN" w:bidi="ar"/>
              </w:rPr>
              <w:t>部门：三门峡市创新发展中心</w:t>
            </w:r>
          </w:p>
        </w:tc>
        <w:tc>
          <w:tcPr>
            <w:tcW w:w="718" w:type="dxa"/>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2030" w:type="dxa"/>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2"/>
                <w:szCs w:val="22"/>
                <w:lang w:val="en-US"/>
              </w:rPr>
            </w:pPr>
            <w:r>
              <w:rPr>
                <w:rFonts w:hint="eastAsia" w:ascii="宋体" w:hAnsi="宋体" w:eastAsia="宋体" w:cs="Arial"/>
                <w:color w:val="000000"/>
                <w:kern w:val="0"/>
                <w:sz w:val="22"/>
                <w:szCs w:val="22"/>
                <w:lang w:val="en-US" w:eastAsia="zh-CN" w:bidi="ar"/>
              </w:rPr>
              <w:t>　</w:t>
            </w:r>
          </w:p>
        </w:tc>
        <w:tc>
          <w:tcPr>
            <w:tcW w:w="716" w:type="dxa"/>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840" w:type="dxa"/>
            <w:gridSpan w:val="2"/>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3830" w:type="dxa"/>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18"/>
                <w:szCs w:val="18"/>
                <w:lang w:val="en-US"/>
              </w:rPr>
            </w:pPr>
            <w:r>
              <w:rPr>
                <w:rFonts w:hint="eastAsia" w:ascii="宋体" w:hAnsi="宋体" w:eastAsia="宋体" w:cs="Arial"/>
                <w:kern w:val="0"/>
                <w:sz w:val="18"/>
                <w:szCs w:val="18"/>
                <w:lang w:val="en-US" w:eastAsia="zh-CN" w:bidi="ar"/>
              </w:rPr>
              <w:t>　</w:t>
            </w:r>
          </w:p>
        </w:tc>
        <w:tc>
          <w:tcPr>
            <w:tcW w:w="1034" w:type="dxa"/>
            <w:tcBorders>
              <w:top w:val="nil"/>
              <w:left w:val="nil"/>
              <w:bottom w:val="single" w:color="auto" w:sz="4" w:space="0"/>
              <w:right w:val="nil"/>
            </w:tcBorders>
            <w:shd w:val="clear" w:color="auto" w:fill="FFFFFF"/>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color w:val="000000"/>
                <w:kern w:val="0"/>
                <w:sz w:val="18"/>
                <w:szCs w:val="18"/>
                <w:lang w:val="en-US"/>
              </w:rPr>
            </w:pPr>
            <w:r>
              <w:rPr>
                <w:rFonts w:hint="eastAsia" w:ascii="宋体" w:hAnsi="宋体" w:eastAsia="宋体" w:cs="Arial"/>
                <w:color w:val="000000"/>
                <w:kern w:val="0"/>
                <w:sz w:val="18"/>
                <w:szCs w:val="18"/>
                <w:lang w:val="en-US" w:eastAsia="zh-CN" w:bidi="ar"/>
              </w:rPr>
              <w:t>单位：万元</w:t>
            </w:r>
          </w:p>
        </w:tc>
      </w:tr>
      <w:tr>
        <w:tblPrEx>
          <w:tblCellMar>
            <w:top w:w="0" w:type="dxa"/>
            <w:left w:w="108" w:type="dxa"/>
            <w:bottom w:w="0" w:type="dxa"/>
            <w:right w:w="108" w:type="dxa"/>
          </w:tblCellMar>
        </w:tblPrEx>
        <w:trPr>
          <w:trHeight w:val="300" w:hRule="atLeast"/>
        </w:trPr>
        <w:tc>
          <w:tcPr>
            <w:tcW w:w="484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人员经费</w:t>
            </w:r>
          </w:p>
        </w:tc>
        <w:tc>
          <w:tcPr>
            <w:tcW w:w="9168"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公用经费</w:t>
            </w:r>
          </w:p>
        </w:tc>
      </w:tr>
      <w:tr>
        <w:tblPrEx>
          <w:tblCellMar>
            <w:top w:w="0" w:type="dxa"/>
            <w:left w:w="108" w:type="dxa"/>
            <w:bottom w:w="0" w:type="dxa"/>
            <w:right w:w="108" w:type="dxa"/>
          </w:tblCellMar>
        </w:tblPrEx>
        <w:trPr>
          <w:trHeight w:val="312" w:hRule="atLeast"/>
        </w:trPr>
        <w:tc>
          <w:tcPr>
            <w:tcW w:w="86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科目编码</w:t>
            </w:r>
          </w:p>
        </w:tc>
        <w:tc>
          <w:tcPr>
            <w:tcW w:w="20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科目名称</w:t>
            </w:r>
          </w:p>
        </w:tc>
        <w:tc>
          <w:tcPr>
            <w:tcW w:w="19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决算数</w:t>
            </w:r>
          </w:p>
        </w:tc>
        <w:tc>
          <w:tcPr>
            <w:tcW w:w="71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科目编码</w:t>
            </w:r>
          </w:p>
        </w:tc>
        <w:tc>
          <w:tcPr>
            <w:tcW w:w="20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科目名称</w:t>
            </w:r>
          </w:p>
        </w:tc>
        <w:tc>
          <w:tcPr>
            <w:tcW w:w="838"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决算数</w:t>
            </w:r>
          </w:p>
        </w:tc>
        <w:tc>
          <w:tcPr>
            <w:tcW w:w="71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科目编码</w:t>
            </w:r>
          </w:p>
        </w:tc>
        <w:tc>
          <w:tcPr>
            <w:tcW w:w="38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科目名称</w:t>
            </w:r>
          </w:p>
        </w:tc>
        <w:tc>
          <w:tcPr>
            <w:tcW w:w="10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决算数</w:t>
            </w:r>
          </w:p>
        </w:tc>
      </w:tr>
      <w:tr>
        <w:tblPrEx>
          <w:tblCellMar>
            <w:top w:w="0" w:type="dxa"/>
            <w:left w:w="108" w:type="dxa"/>
            <w:bottom w:w="0" w:type="dxa"/>
            <w:right w:w="108" w:type="dxa"/>
          </w:tblCellMar>
        </w:tblPrEx>
        <w:trPr>
          <w:trHeight w:val="312" w:hRule="atLeast"/>
        </w:trPr>
        <w:tc>
          <w:tcPr>
            <w:tcW w:w="86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05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9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1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03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838"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1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383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34"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工资福利支出</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121.88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商品和服务支出</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4.48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307</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债务利息及费用支出</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30101</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基本工资</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34.62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30201</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办公费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0.69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30701</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国内债务付息</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30102</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津贴补贴</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21.44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30202</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印刷费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0.10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30702</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国外债务付息</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30103</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奖金</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37.40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30203</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咨询费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资本性支出</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shd w:val="clear" w:color="auto" w:fill="auto"/>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30106</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伙食补助费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30204</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手续费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31001</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房屋建筑物购建</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30107</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绩效工资</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7.42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30205</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水费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0.11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31002</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办公设备购置</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30108</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机关事业单位基本养老保险缴费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8.36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30206</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电费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0.55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31003</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专用设备购置</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shd w:val="clear" w:color="auto" w:fill="auto"/>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30109</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职业年金缴费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30207</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邮电费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31005</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基础设施建设</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shd w:val="clear" w:color="auto" w:fill="auto"/>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30110</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职工基本医疗保险缴费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3.94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30208</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取暖费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0.31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31006</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大型修缮</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30111</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公务员医疗补助缴费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2.19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30209</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物业管理费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31007</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信息网络及软件购置更新</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30112</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其他社会保障缴费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0.21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30211</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差旅费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31008</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物资储备</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30113</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住房公积金</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6.30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30212</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因公出国（境）费用</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31009</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土地补偿</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30114</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医疗费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30213</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维修（护）费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31010</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安置补助</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30199</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其他工资福利支出</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30214</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租赁费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31011</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地上附着物和青苗补偿</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对个人和家庭的补助</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30215</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会议费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31012</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拆迁补偿</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shd w:val="clear" w:color="auto" w:fill="auto"/>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30301</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离休费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30216</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培训费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0.19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31013</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公务用车购置</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30302</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退休费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30217</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公务接待费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31019</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其他交通工具购置</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30303</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退职（役）费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30218</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专用材料费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31021</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文物和陈列品购置</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30304</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抚恤金</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30224</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被装购置费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31022</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无形资产购置</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30305</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生活补助</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30225</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专用燃料费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31099</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其他资本性支出</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30306</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救济费</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30226</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劳务费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399</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其他支出</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shd w:val="clear" w:color="auto" w:fill="auto"/>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30307</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医疗费补助</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30227</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委托业务费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39906</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赠与</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30308</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助学金</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30228</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工会经费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0.61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39907</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国家赔偿费用支出</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shd w:val="clear" w:color="auto" w:fill="auto"/>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30309</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奖励金</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30229</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福利费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1.28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39908</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对民间非营利组织和群众性自治组织补贴</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30310</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个人农业生产补贴</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30231</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公务用车运行维护费</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39999</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其他支出</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30399</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其他对个人和家庭的补助</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30239</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其他交通费用</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shd w:val="clear" w:color="auto" w:fill="auto"/>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30240</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xml:space="preserve">  税金及附加费用</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shd w:val="clear" w:color="auto" w:fill="auto"/>
          <w:tblCellMar>
            <w:top w:w="0" w:type="dxa"/>
            <w:left w:w="108" w:type="dxa"/>
            <w:bottom w:w="0" w:type="dxa"/>
            <w:right w:w="108" w:type="dxa"/>
          </w:tblCellMar>
        </w:tblPrEx>
        <w:trPr>
          <w:trHeight w:val="300" w:hRule="atLeast"/>
        </w:trPr>
        <w:tc>
          <w:tcPr>
            <w:tcW w:w="8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205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ind w:left="0" w:right="0"/>
              <w:rPr>
                <w:rFonts w:hint="eastAsia" w:ascii="宋体" w:hAnsi="宋体" w:eastAsia="宋体" w:cs="宋体"/>
                <w:kern w:val="0"/>
                <w:sz w:val="22"/>
                <w:szCs w:val="22"/>
                <w:lang w:val="en-US"/>
              </w:rPr>
            </w:pP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30299</w:t>
            </w:r>
          </w:p>
        </w:tc>
        <w:tc>
          <w:tcPr>
            <w:tcW w:w="20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其他商品和服务支出</w:t>
            </w:r>
          </w:p>
        </w:tc>
        <w:tc>
          <w:tcPr>
            <w:tcW w:w="838" w:type="dxa"/>
            <w:gridSpan w:val="2"/>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kern w:val="0"/>
                <w:sz w:val="22"/>
                <w:szCs w:val="22"/>
                <w:lang w:val="en-US"/>
              </w:rPr>
            </w:pPr>
            <w:r>
              <w:rPr>
                <w:rFonts w:hint="eastAsia" w:ascii="宋体" w:hAnsi="宋体" w:eastAsia="宋体" w:cs="宋体"/>
                <w:i w:val="0"/>
                <w:iCs w:val="0"/>
                <w:color w:val="000000"/>
                <w:kern w:val="0"/>
                <w:sz w:val="22"/>
                <w:szCs w:val="22"/>
                <w:u w:val="none"/>
                <w:lang w:val="en-US" w:eastAsia="zh-CN" w:bidi="ar"/>
              </w:rPr>
              <w:t xml:space="preserve">0.64 </w:t>
            </w:r>
          </w:p>
        </w:tc>
        <w:tc>
          <w:tcPr>
            <w:tcW w:w="7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383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　</w:t>
            </w:r>
          </w:p>
        </w:tc>
      </w:tr>
      <w:tr>
        <w:tblPrEx>
          <w:tblCellMar>
            <w:top w:w="0" w:type="dxa"/>
            <w:left w:w="108" w:type="dxa"/>
            <w:bottom w:w="0" w:type="dxa"/>
            <w:right w:w="108" w:type="dxa"/>
          </w:tblCellMar>
        </w:tblPrEx>
        <w:trPr>
          <w:trHeight w:val="300" w:hRule="atLeast"/>
        </w:trPr>
        <w:tc>
          <w:tcPr>
            <w:tcW w:w="291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人员经费合计</w:t>
            </w:r>
          </w:p>
        </w:tc>
        <w:tc>
          <w:tcPr>
            <w:tcW w:w="1935" w:type="dxa"/>
            <w:tcBorders>
              <w:top w:val="nil"/>
              <w:left w:val="nil"/>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121.88 </w:t>
            </w:r>
          </w:p>
        </w:tc>
        <w:tc>
          <w:tcPr>
            <w:tcW w:w="8134" w:type="dxa"/>
            <w:gridSpan w:val="6"/>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公用经费合计</w:t>
            </w:r>
          </w:p>
        </w:tc>
        <w:tc>
          <w:tcPr>
            <w:tcW w:w="103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4.48</w:t>
            </w:r>
          </w:p>
        </w:tc>
      </w:tr>
      <w:tr>
        <w:tblPrEx>
          <w:shd w:val="clear" w:color="auto" w:fill="auto"/>
          <w:tblCellMar>
            <w:top w:w="0" w:type="dxa"/>
            <w:left w:w="108" w:type="dxa"/>
            <w:bottom w:w="0" w:type="dxa"/>
            <w:right w:w="108" w:type="dxa"/>
          </w:tblCellMar>
        </w:tblPrEx>
        <w:trPr>
          <w:trHeight w:val="300" w:hRule="atLeast"/>
        </w:trPr>
        <w:tc>
          <w:tcPr>
            <w:tcW w:w="14013" w:type="dxa"/>
            <w:gridSpan w:val="10"/>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lang w:val="en-US"/>
              </w:rPr>
            </w:pPr>
            <w:r>
              <w:rPr>
                <w:rFonts w:hint="eastAsia" w:ascii="宋体" w:hAnsi="宋体" w:eastAsia="宋体" w:cs="Arial"/>
                <w:kern w:val="0"/>
                <w:sz w:val="20"/>
                <w:szCs w:val="20"/>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4"/>
        <w:tblW w:w="13807" w:type="dxa"/>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eastAsia="宋体" w:cs="Arial"/>
                <w:color w:val="000000"/>
                <w:kern w:val="0"/>
                <w:sz w:val="20"/>
                <w:szCs w:val="20"/>
                <w:lang w:val="en-US" w:eastAsia="zh-CN" w:bidi="ar"/>
              </w:rPr>
              <w:t>三门峡市创新发展中心</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suppressLineNumbers w:val="0"/>
              <w:tabs>
                <w:tab w:val="center" w:pos="560"/>
              </w:tabs>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r>
              <w:rPr>
                <w:rFonts w:hint="eastAsia" w:ascii="宋体" w:hAnsi="宋体" w:cs="宋体"/>
                <w:color w:val="000000"/>
                <w:sz w:val="20"/>
                <w:szCs w:val="20"/>
                <w:lang w:val="en-US" w:eastAsia="zh-CN"/>
              </w:rPr>
              <w:tab/>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eastAsiaTheme="minorEastAsia"/>
                <w:color w:val="000000"/>
                <w:sz w:val="20"/>
                <w:szCs w:val="20"/>
                <w:lang w:val="en-US" w:eastAsia="zh-CN"/>
              </w:rPr>
            </w:pPr>
            <w:r>
              <w:rPr>
                <w:rFonts w:hint="eastAsia" w:ascii="宋体" w:hAnsi="宋体" w:cs="宋体"/>
                <w:color w:val="000000"/>
                <w:sz w:val="20"/>
                <w:szCs w:val="20"/>
                <w:lang w:val="en-US" w:eastAsia="zh-CN"/>
              </w:rPr>
              <w:t>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注：本表反映部门本年度“三公”经费支出预决算情况。其中，</w:t>
            </w:r>
            <w:r>
              <w:rPr>
                <w:rStyle w:val="10"/>
                <w:rFonts w:hint="default"/>
                <w:sz w:val="20"/>
                <w:szCs w:val="20"/>
                <w:lang w:bidi="ar"/>
              </w:rPr>
              <w:t>预算数为“三公”经费</w:t>
            </w:r>
            <w:r>
              <w:rPr>
                <w:rStyle w:val="10"/>
                <w:rFonts w:hint="eastAsia" w:eastAsia="宋体"/>
                <w:sz w:val="20"/>
                <w:szCs w:val="20"/>
                <w:lang w:eastAsia="zh-CN" w:bidi="ar"/>
              </w:rPr>
              <w:t>调整</w:t>
            </w:r>
            <w:r>
              <w:rPr>
                <w:rStyle w:val="10"/>
                <w:rFonts w:hint="default"/>
                <w:sz w:val="20"/>
                <w:szCs w:val="20"/>
                <w:lang w:bidi="ar"/>
              </w:rPr>
              <w:t>预算数，决算数是包括当年一般公共预算财政拨款和以前年度结转资金安排的实际支出。</w:t>
            </w:r>
            <w:r>
              <w:rPr>
                <w:rFonts w:hint="eastAsia" w:ascii="宋体" w:hAnsi="宋体" w:cs="宋体"/>
                <w:color w:val="000000"/>
                <w:kern w:val="0"/>
                <w:sz w:val="20"/>
                <w:szCs w:val="20"/>
                <w:lang w:bidi="ar"/>
              </w:rPr>
              <w:t>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4"/>
        <w:tblW w:w="13988" w:type="dxa"/>
        <w:tblInd w:w="0" w:type="dxa"/>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CellMar>
            <w:top w:w="0" w:type="dxa"/>
            <w:left w:w="0" w:type="dxa"/>
            <w:bottom w:w="0" w:type="dxa"/>
            <w:right w:w="0" w:type="dxa"/>
          </w:tblCellMar>
        </w:tblPrEx>
        <w:trPr>
          <w:trHeight w:val="600" w:hRule="atLeast"/>
        </w:trPr>
        <w:tc>
          <w:tcPr>
            <w:tcW w:w="13988"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trHeight w:val="222" w:hRule="atLeast"/>
        </w:trPr>
        <w:tc>
          <w:tcPr>
            <w:tcW w:w="612"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300" w:hRule="atLeast"/>
        </w:trPr>
        <w:tc>
          <w:tcPr>
            <w:tcW w:w="4350" w:type="dxa"/>
            <w:gridSpan w:val="4"/>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r>
              <w:rPr>
                <w:rFonts w:hint="eastAsia" w:ascii="宋体" w:hAnsi="宋体" w:cs="宋体"/>
                <w:color w:val="000000"/>
                <w:kern w:val="0"/>
                <w:sz w:val="20"/>
                <w:szCs w:val="20"/>
                <w:lang w:bidi="ar"/>
              </w:rPr>
              <w:t>部门：</w:t>
            </w:r>
            <w:r>
              <w:rPr>
                <w:rFonts w:hint="eastAsia" w:ascii="宋体" w:hAnsi="宋体" w:eastAsia="宋体" w:cs="Arial"/>
                <w:color w:val="000000"/>
                <w:kern w:val="0"/>
                <w:sz w:val="20"/>
                <w:szCs w:val="20"/>
                <w:lang w:val="en-US" w:eastAsia="zh-CN" w:bidi="ar"/>
              </w:rPr>
              <w:t>三门峡市创新发展中心</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cs="宋体"/>
                <w:color w:val="000000"/>
                <w:sz w:val="20"/>
                <w:szCs w:val="20"/>
              </w:rPr>
            </w:pPr>
          </w:p>
        </w:tc>
      </w:tr>
      <w:tr>
        <w:tblPrEx>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注：本表反映部门本年度政府性基金预算财政拨款收入、支出及结转和结余情况。</w:t>
            </w:r>
          </w:p>
        </w:tc>
      </w:tr>
    </w:tbl>
    <w:p>
      <w:pPr>
        <w:jc w:val="both"/>
        <w:rPr>
          <w:rFonts w:hint="eastAsia" w:ascii="仿宋_GB2312" w:hAnsi="仿宋_GB2312" w:eastAsia="仿宋_GB2312" w:cs="仿宋_GB2312"/>
          <w:sz w:val="24"/>
          <w:szCs w:val="24"/>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24"/>
          <w:szCs w:val="24"/>
          <w:highlight w:val="none"/>
        </w:rPr>
        <w:t>说明：我部门没有政府性基金收入，也没有使用政府性基金安排的支出，故本表无数据。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 xml:space="preserve">第三部分  </w:t>
      </w:r>
      <w:r>
        <w:rPr>
          <w:rFonts w:hint="eastAsia" w:ascii="黑体" w:hAnsi="黑体" w:eastAsia="黑体" w:cs="黑体"/>
          <w:sz w:val="48"/>
          <w:szCs w:val="48"/>
          <w:lang w:eastAsia="zh-CN"/>
        </w:rPr>
        <w:t>2021年</w:t>
      </w:r>
      <w:r>
        <w:rPr>
          <w:rFonts w:hint="eastAsia" w:ascii="黑体" w:hAnsi="黑体" w:eastAsia="黑体" w:cs="黑体"/>
          <w:sz w:val="48"/>
          <w:szCs w:val="48"/>
        </w:rPr>
        <w:t>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default" w:ascii="黑体" w:hAnsi="黑体" w:eastAsia="仿宋_GB2312" w:cs="黑体"/>
          <w:sz w:val="32"/>
          <w:szCs w:val="32"/>
          <w:highlight w:val="none"/>
          <w:lang w:val="en-US" w:eastAsia="zh-CN"/>
        </w:rPr>
      </w:pPr>
      <w:r>
        <w:rPr>
          <w:rFonts w:hint="eastAsia" w:ascii="仿宋_GB2312" w:hAnsi="仿宋_GB2312" w:eastAsia="仿宋_GB2312" w:cs="仿宋_GB2312"/>
          <w:sz w:val="32"/>
          <w:szCs w:val="32"/>
          <w:highlight w:val="none"/>
          <w:lang w:eastAsia="zh-CN"/>
        </w:rPr>
        <w:t>2021年</w:t>
      </w:r>
      <w:r>
        <w:rPr>
          <w:rFonts w:hint="eastAsia" w:ascii="仿宋_GB2312" w:hAnsi="仿宋_GB2312" w:eastAsia="仿宋_GB2312" w:cs="仿宋_GB2312"/>
          <w:sz w:val="32"/>
          <w:szCs w:val="32"/>
          <w:highlight w:val="none"/>
        </w:rPr>
        <w:t>度收、支总计均为</w:t>
      </w:r>
      <w:r>
        <w:rPr>
          <w:rFonts w:hint="eastAsia" w:ascii="仿宋_GB2312" w:hAnsi="仿宋_GB2312" w:eastAsia="仿宋_GB2312" w:cs="仿宋_GB2312"/>
          <w:sz w:val="32"/>
          <w:szCs w:val="32"/>
          <w:highlight w:val="none"/>
          <w:lang w:val="en-US" w:eastAsia="zh-CN"/>
        </w:rPr>
        <w:t>126.36</w:t>
      </w:r>
      <w:r>
        <w:rPr>
          <w:rFonts w:hint="eastAsia" w:ascii="仿宋_GB2312" w:hAnsi="仿宋_GB2312" w:eastAsia="仿宋_GB2312" w:cs="仿宋_GB2312"/>
          <w:sz w:val="32"/>
          <w:szCs w:val="32"/>
          <w:highlight w:val="none"/>
        </w:rPr>
        <w:t>万元。与上年度相比，收、支总计各</w:t>
      </w:r>
      <w:r>
        <w:rPr>
          <w:rFonts w:hint="eastAsia" w:ascii="仿宋_GB2312" w:hAnsi="仿宋_GB2312" w:eastAsia="仿宋_GB2312" w:cs="仿宋_GB2312"/>
          <w:sz w:val="32"/>
          <w:szCs w:val="32"/>
          <w:highlight w:val="none"/>
          <w:lang w:val="en-US" w:eastAsia="zh-CN"/>
        </w:rPr>
        <w:t>减少1033.01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减少89.1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2020年财政出资设立的“科技贷”风险补偿金共1000万元，按要求放在本单位账户下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另外33.01万元则由于人员调整造成。</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仿宋_GB2312" w:cs="黑体"/>
          <w:sz w:val="32"/>
          <w:szCs w:val="32"/>
          <w:lang w:val="en-US" w:eastAsia="zh-CN"/>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度收入合计</w:t>
      </w:r>
      <w:r>
        <w:rPr>
          <w:rFonts w:hint="eastAsia" w:ascii="仿宋_GB2312" w:hAnsi="仿宋_GB2312" w:eastAsia="仿宋_GB2312" w:cs="仿宋_GB2312"/>
          <w:sz w:val="32"/>
          <w:szCs w:val="32"/>
          <w:lang w:val="en-US" w:eastAsia="zh-CN"/>
        </w:rPr>
        <w:t>126.36</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126.36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度支出合计</w:t>
      </w:r>
      <w:r>
        <w:rPr>
          <w:rFonts w:hint="eastAsia" w:ascii="仿宋_GB2312" w:hAnsi="仿宋_GB2312" w:eastAsia="仿宋_GB2312" w:cs="仿宋_GB2312"/>
          <w:sz w:val="32"/>
          <w:szCs w:val="32"/>
          <w:lang w:val="en-US" w:eastAsia="zh-CN"/>
        </w:rPr>
        <w:t>126.36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126.36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度财政拨款收、支总计均为</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万元。与上年度相比，财政拨款收、支总计各</w:t>
      </w:r>
      <w:r>
        <w:rPr>
          <w:rFonts w:hint="eastAsia" w:ascii="仿宋_GB2312" w:hAnsi="仿宋_GB2312" w:eastAsia="仿宋_GB2312" w:cs="仿宋_GB2312"/>
          <w:sz w:val="32"/>
          <w:szCs w:val="32"/>
          <w:highlight w:val="none"/>
          <w:lang w:val="en-US" w:eastAsia="zh-CN"/>
        </w:rPr>
        <w:t>减少1033.01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减少89.1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2020年财政出资设立的“科技贷”风险补偿金共1000万元，按要求放在本单位账户下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另外33.01万元则由于人员调整造成。</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2021年</w:t>
      </w:r>
      <w:r>
        <w:rPr>
          <w:rFonts w:hint="eastAsia" w:ascii="仿宋_GB2312" w:hAnsi="仿宋_GB2312" w:eastAsia="仿宋_GB2312" w:cs="仿宋_GB2312"/>
          <w:sz w:val="32"/>
          <w:szCs w:val="32"/>
          <w:highlight w:val="none"/>
        </w:rPr>
        <w:t>度一般公共预算财政拨款支出</w:t>
      </w:r>
      <w:r>
        <w:rPr>
          <w:rFonts w:hint="eastAsia" w:ascii="仿宋_GB2312" w:hAnsi="仿宋_GB2312" w:eastAsia="仿宋_GB2312" w:cs="仿宋_GB2312"/>
          <w:sz w:val="32"/>
          <w:szCs w:val="32"/>
          <w:highlight w:val="none"/>
          <w:lang w:val="en-US" w:eastAsia="zh-CN"/>
        </w:rPr>
        <w:t>126.36</w:t>
      </w:r>
      <w:r>
        <w:rPr>
          <w:rFonts w:hint="eastAsia" w:ascii="仿宋_GB2312" w:hAnsi="仿宋_GB2312" w:eastAsia="仿宋_GB2312" w:cs="仿宋_GB2312"/>
          <w:sz w:val="32"/>
          <w:szCs w:val="32"/>
          <w:highlight w:val="none"/>
        </w:rPr>
        <w:t>万元，占本年支出合计的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1033.01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89.1</w:t>
      </w:r>
      <w:r>
        <w:rPr>
          <w:rFonts w:hint="eastAsia" w:ascii="仿宋_GB2312" w:hAnsi="仿宋_GB2312" w:eastAsia="仿宋_GB2312" w:cs="仿宋_GB2312"/>
          <w:sz w:val="32"/>
          <w:szCs w:val="32"/>
          <w:highlight w:val="none"/>
        </w:rPr>
        <w:t>%。主要原因是主要原因是</w:t>
      </w:r>
      <w:r>
        <w:rPr>
          <w:rFonts w:hint="eastAsia" w:ascii="仿宋_GB2312" w:hAnsi="仿宋_GB2312" w:eastAsia="仿宋_GB2312" w:cs="仿宋_GB2312"/>
          <w:sz w:val="32"/>
          <w:szCs w:val="32"/>
          <w:highlight w:val="none"/>
          <w:lang w:val="en-US" w:eastAsia="zh-CN"/>
        </w:rPr>
        <w:t>2020年，财政出资设立的“科技贷”风险补偿金共1000万元，按要求放在本单位账户下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另外33.01万元则由于人员调整造成。</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度一般公共预算财政拨款支出</w:t>
      </w:r>
      <w:r>
        <w:rPr>
          <w:rFonts w:hint="eastAsia" w:ascii="仿宋_GB2312" w:hAnsi="仿宋_GB2312" w:eastAsia="仿宋_GB2312" w:cs="仿宋_GB2312"/>
          <w:sz w:val="32"/>
          <w:szCs w:val="32"/>
          <w:lang w:val="en-US" w:eastAsia="zh-CN"/>
        </w:rPr>
        <w:t>126.36</w:t>
      </w:r>
      <w:r>
        <w:rPr>
          <w:rFonts w:hint="eastAsia" w:ascii="仿宋_GB2312" w:hAnsi="仿宋_GB2312" w:eastAsia="仿宋_GB2312" w:cs="仿宋_GB2312"/>
          <w:sz w:val="32"/>
          <w:szCs w:val="32"/>
        </w:rPr>
        <w:t>万元，主要用于以下方面：科学技术（类）支出</w:t>
      </w:r>
      <w:r>
        <w:rPr>
          <w:rFonts w:hint="eastAsia" w:ascii="仿宋_GB2312" w:hAnsi="仿宋_GB2312" w:eastAsia="仿宋_GB2312" w:cs="仿宋_GB2312"/>
          <w:sz w:val="32"/>
          <w:szCs w:val="32"/>
          <w:lang w:val="en-US" w:eastAsia="zh-CN"/>
        </w:rPr>
        <w:t>105.56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83.54</w:t>
      </w:r>
      <w:r>
        <w:rPr>
          <w:rFonts w:hint="eastAsia" w:ascii="仿宋_GB2312" w:hAnsi="仿宋_GB2312" w:eastAsia="仿宋_GB2312" w:cs="仿宋_GB2312"/>
          <w:sz w:val="32"/>
          <w:szCs w:val="32"/>
        </w:rPr>
        <w:t xml:space="preserve">%；社会保障和就业支出（类）支出 </w:t>
      </w:r>
      <w:r>
        <w:rPr>
          <w:rFonts w:hint="eastAsia" w:ascii="仿宋_GB2312" w:hAnsi="仿宋_GB2312" w:eastAsia="仿宋_GB2312" w:cs="仿宋_GB2312"/>
          <w:sz w:val="32"/>
          <w:szCs w:val="32"/>
          <w:lang w:val="en-US" w:eastAsia="zh-CN"/>
        </w:rPr>
        <w:t>8.36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6.62</w:t>
      </w:r>
      <w:r>
        <w:rPr>
          <w:rFonts w:hint="eastAsia" w:ascii="仿宋_GB2312" w:hAnsi="仿宋_GB2312" w:eastAsia="仿宋_GB2312" w:cs="仿宋_GB2312"/>
          <w:sz w:val="32"/>
          <w:szCs w:val="32"/>
        </w:rPr>
        <w:t xml:space="preserve">%；卫生健康（类）支出 </w:t>
      </w:r>
      <w:r>
        <w:rPr>
          <w:rFonts w:hint="eastAsia" w:ascii="仿宋_GB2312" w:hAnsi="仿宋_GB2312" w:eastAsia="仿宋_GB2312" w:cs="仿宋_GB2312"/>
          <w:sz w:val="32"/>
          <w:szCs w:val="32"/>
          <w:lang w:val="en-US" w:eastAsia="zh-CN"/>
        </w:rPr>
        <w:t>6.14</w:t>
      </w:r>
      <w:r>
        <w:rPr>
          <w:rFonts w:hint="eastAsia" w:ascii="仿宋_GB2312" w:hAnsi="仿宋_GB2312" w:eastAsia="仿宋_GB2312" w:cs="仿宋_GB2312"/>
          <w:sz w:val="32"/>
          <w:szCs w:val="32"/>
        </w:rPr>
        <w:t xml:space="preserve"> 万元，占</w:t>
      </w:r>
      <w:r>
        <w:rPr>
          <w:rFonts w:hint="eastAsia" w:ascii="仿宋_GB2312" w:hAnsi="仿宋_GB2312" w:eastAsia="仿宋_GB2312" w:cs="仿宋_GB2312"/>
          <w:sz w:val="32"/>
          <w:szCs w:val="32"/>
          <w:lang w:val="en-US" w:eastAsia="zh-CN"/>
        </w:rPr>
        <w:t>4.86</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4.99</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度一般公共预算财政拨款支出年初预算为</w:t>
      </w:r>
      <w:r>
        <w:rPr>
          <w:rFonts w:hint="eastAsia" w:ascii="仿宋_GB2312" w:hAnsi="仿宋_GB2312" w:eastAsia="仿宋_GB2312" w:cs="仿宋_GB2312"/>
          <w:sz w:val="32"/>
          <w:szCs w:val="32"/>
          <w:lang w:val="en-US" w:eastAsia="zh-CN"/>
        </w:rPr>
        <w:t>112.02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126.36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112.80</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1．科学技术支出（类）基础研究（款）机构运行（项）。</w:t>
      </w:r>
      <w:r>
        <w:rPr>
          <w:rFonts w:hint="eastAsia" w:ascii="仿宋_GB2312" w:hAnsi="仿宋_GB2312" w:eastAsia="仿宋_GB2312" w:cs="仿宋_GB2312"/>
          <w:sz w:val="32"/>
          <w:szCs w:val="32"/>
          <w:lang w:val="en-US" w:eastAsia="zh-CN"/>
        </w:rPr>
        <w:t>年初预算为 91.46万元，支出决算为105.56万元，完成年初预算的115.42%。决算数与年初预算数存在差异的主要原因是单位人员调整及工资基数调整。</w:t>
      </w:r>
    </w:p>
    <w:p>
      <w:pPr>
        <w:widowControl/>
        <w:spacing w:line="590" w:lineRule="exact"/>
        <w:ind w:firstLine="643" w:firstLineChars="200"/>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bCs/>
          <w:sz w:val="32"/>
          <w:szCs w:val="32"/>
        </w:rPr>
        <w:t>2．社会保障和就业支出（类）行政事业单位养老支出（款）机关事业单位基本养老保险缴费支出（项）。</w:t>
      </w: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8.17</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8.36</w:t>
      </w:r>
      <w:r>
        <w:rPr>
          <w:rFonts w:hint="eastAsia" w:ascii="仿宋_GB2312" w:hAnsi="仿宋_GB2312" w:eastAsia="仿宋_GB2312" w:cs="仿宋_GB2312"/>
          <w:b w:val="0"/>
          <w:bCs w:val="0"/>
          <w:sz w:val="32"/>
          <w:szCs w:val="32"/>
        </w:rPr>
        <w:t>万元，完成年初预算的</w:t>
      </w:r>
      <w:r>
        <w:rPr>
          <w:rFonts w:hint="eastAsia" w:ascii="仿宋_GB2312" w:hAnsi="仿宋_GB2312" w:eastAsia="仿宋_GB2312" w:cs="仿宋_GB2312"/>
          <w:b w:val="0"/>
          <w:bCs w:val="0"/>
          <w:sz w:val="32"/>
          <w:szCs w:val="32"/>
          <w:lang w:val="en-US" w:eastAsia="zh-CN"/>
        </w:rPr>
        <w:t>102.33</w:t>
      </w:r>
      <w:r>
        <w:rPr>
          <w:rFonts w:hint="eastAsia" w:ascii="仿宋_GB2312" w:hAnsi="仿宋_GB2312" w:eastAsia="仿宋_GB2312" w:cs="仿宋_GB2312"/>
          <w:b w:val="0"/>
          <w:bCs w:val="0"/>
          <w:sz w:val="32"/>
          <w:szCs w:val="32"/>
        </w:rPr>
        <w:t>%。决算数与年初预算数存在差异的主要原因是</w:t>
      </w:r>
      <w:r>
        <w:rPr>
          <w:rFonts w:hint="eastAsia" w:ascii="仿宋_GB2312" w:hAnsi="仿宋_GB2312" w:eastAsia="仿宋_GB2312" w:cs="仿宋_GB2312"/>
          <w:sz w:val="32"/>
          <w:szCs w:val="32"/>
          <w:lang w:val="en-US" w:eastAsia="zh-CN"/>
        </w:rPr>
        <w:t>单位人员调整及工资基数调整.</w:t>
      </w:r>
    </w:p>
    <w:p>
      <w:pPr>
        <w:widowControl/>
        <w:spacing w:line="590" w:lineRule="exact"/>
        <w:ind w:firstLine="643" w:firstLineChars="200"/>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6.25</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6.14</w:t>
      </w:r>
      <w:r>
        <w:rPr>
          <w:rFonts w:hint="eastAsia" w:ascii="仿宋_GB2312" w:hAnsi="仿宋_GB2312" w:eastAsia="仿宋_GB2312" w:cs="仿宋_GB2312"/>
          <w:b w:val="0"/>
          <w:bCs w:val="0"/>
          <w:sz w:val="32"/>
          <w:szCs w:val="32"/>
        </w:rPr>
        <w:t>万元，完成年初预算的</w:t>
      </w:r>
      <w:r>
        <w:rPr>
          <w:rFonts w:hint="eastAsia" w:ascii="仿宋_GB2312" w:hAnsi="仿宋_GB2312" w:eastAsia="仿宋_GB2312" w:cs="仿宋_GB2312"/>
          <w:b w:val="0"/>
          <w:bCs w:val="0"/>
          <w:sz w:val="32"/>
          <w:szCs w:val="32"/>
          <w:lang w:val="en-US" w:eastAsia="zh-CN"/>
        </w:rPr>
        <w:t>98.24</w:t>
      </w:r>
      <w:r>
        <w:rPr>
          <w:rFonts w:hint="eastAsia" w:ascii="仿宋_GB2312" w:hAnsi="仿宋_GB2312" w:eastAsia="仿宋_GB2312" w:cs="仿宋_GB2312"/>
          <w:b w:val="0"/>
          <w:bCs w:val="0"/>
          <w:sz w:val="32"/>
          <w:szCs w:val="32"/>
        </w:rPr>
        <w:t>%。决算数与年初预算数存在差异的主要原因是</w:t>
      </w:r>
      <w:r>
        <w:rPr>
          <w:rFonts w:hint="eastAsia" w:ascii="仿宋_GB2312" w:hAnsi="仿宋_GB2312" w:eastAsia="仿宋_GB2312" w:cs="仿宋_GB2312"/>
          <w:sz w:val="32"/>
          <w:szCs w:val="32"/>
          <w:lang w:val="en-US" w:eastAsia="zh-CN"/>
        </w:rPr>
        <w:t>单位人员调整及工资基数调整。</w:t>
      </w:r>
    </w:p>
    <w:p>
      <w:pPr>
        <w:widowControl/>
        <w:spacing w:line="590" w:lineRule="exact"/>
        <w:ind w:firstLine="643" w:firstLineChars="200"/>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．住房保障支出（类）住房改革支出（款）机关事业住房公积金（项）。</w:t>
      </w: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6.13</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6.3</w:t>
      </w:r>
      <w:r>
        <w:rPr>
          <w:rFonts w:hint="eastAsia" w:ascii="仿宋_GB2312" w:hAnsi="仿宋_GB2312" w:eastAsia="仿宋_GB2312" w:cs="仿宋_GB2312"/>
          <w:b w:val="0"/>
          <w:bCs w:val="0"/>
          <w:sz w:val="32"/>
          <w:szCs w:val="32"/>
        </w:rPr>
        <w:t>万元，完成年初预算的</w:t>
      </w:r>
      <w:r>
        <w:rPr>
          <w:rFonts w:hint="eastAsia" w:ascii="仿宋_GB2312" w:hAnsi="仿宋_GB2312" w:eastAsia="仿宋_GB2312" w:cs="仿宋_GB2312"/>
          <w:b w:val="0"/>
          <w:bCs w:val="0"/>
          <w:sz w:val="32"/>
          <w:szCs w:val="32"/>
          <w:lang w:val="en-US" w:eastAsia="zh-CN"/>
        </w:rPr>
        <w:t>102.77</w:t>
      </w:r>
      <w:r>
        <w:rPr>
          <w:rFonts w:hint="eastAsia" w:ascii="仿宋_GB2312" w:hAnsi="仿宋_GB2312" w:eastAsia="仿宋_GB2312" w:cs="仿宋_GB2312"/>
          <w:b w:val="0"/>
          <w:bCs w:val="0"/>
          <w:sz w:val="32"/>
          <w:szCs w:val="32"/>
        </w:rPr>
        <w:t>%。决算数与年初预算数存在差异的主要原因是</w:t>
      </w:r>
      <w:r>
        <w:rPr>
          <w:rFonts w:hint="eastAsia" w:ascii="仿宋_GB2312" w:hAnsi="仿宋_GB2312" w:eastAsia="仿宋_GB2312" w:cs="仿宋_GB2312"/>
          <w:sz w:val="32"/>
          <w:szCs w:val="32"/>
          <w:lang w:val="en-US" w:eastAsia="zh-CN"/>
        </w:rPr>
        <w:t>单位人员调整及工资基数调整。</w:t>
      </w:r>
    </w:p>
    <w:p>
      <w:pPr>
        <w:widowControl/>
        <w:spacing w:line="590" w:lineRule="exact"/>
        <w:ind w:firstLine="640" w:firstLineChars="200"/>
        <w:rPr>
          <w:rFonts w:hint="eastAsia" w:ascii="仿宋_GB2312" w:hAnsi="仿宋_GB2312" w:eastAsia="仿宋_GB2312" w:cs="仿宋_GB2312"/>
          <w:b w:val="0"/>
          <w:bCs w:val="0"/>
          <w:sz w:val="32"/>
          <w:szCs w:val="32"/>
        </w:r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2021年</w:t>
      </w:r>
      <w:r>
        <w:rPr>
          <w:rFonts w:hint="eastAsia" w:ascii="仿宋_GB2312" w:hAnsi="仿宋_GB2312" w:eastAsia="仿宋_GB2312" w:cs="仿宋_GB2312"/>
          <w:sz w:val="32"/>
          <w:szCs w:val="32"/>
          <w:highlight w:val="none"/>
        </w:rPr>
        <w:t>度一般公共预算财政拨款基本支出</w:t>
      </w:r>
      <w:r>
        <w:rPr>
          <w:rFonts w:hint="eastAsia" w:ascii="仿宋_GB2312" w:hAnsi="仿宋_GB2312" w:eastAsia="仿宋_GB2312" w:cs="仿宋_GB2312"/>
          <w:sz w:val="32"/>
          <w:szCs w:val="32"/>
          <w:highlight w:val="none"/>
          <w:lang w:val="en-US" w:eastAsia="zh-CN"/>
        </w:rPr>
        <w:t>126.36</w:t>
      </w:r>
      <w:r>
        <w:rPr>
          <w:rFonts w:hint="eastAsia" w:ascii="仿宋_GB2312" w:hAnsi="仿宋_GB2312" w:eastAsia="仿宋_GB2312" w:cs="仿宋_GB2312"/>
          <w:sz w:val="32"/>
          <w:szCs w:val="32"/>
          <w:highlight w:val="none"/>
        </w:rPr>
        <w:t>万元。与上年度相比，减少</w:t>
      </w:r>
      <w:r>
        <w:rPr>
          <w:rFonts w:hint="eastAsia" w:ascii="仿宋_GB2312" w:hAnsi="仿宋_GB2312" w:eastAsia="仿宋_GB2312" w:cs="仿宋_GB2312"/>
          <w:sz w:val="32"/>
          <w:szCs w:val="32"/>
          <w:highlight w:val="none"/>
          <w:lang w:val="en-US" w:eastAsia="zh-CN"/>
        </w:rPr>
        <w:t>1033.0</w:t>
      </w:r>
      <w:bookmarkStart w:id="0" w:name="_GoBack"/>
      <w:bookmarkEnd w:id="0"/>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89.1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2020年，财政出资设立的“科技贷”风险补偿金共1000万元，按要求放在本单位账户下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另外33.01万元则由于人员调整造成。</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121.88</w:t>
      </w:r>
      <w:r>
        <w:rPr>
          <w:rFonts w:hint="eastAsia" w:ascii="仿宋_GB2312" w:hAnsi="仿宋_GB2312" w:eastAsia="仿宋_GB2312" w:cs="仿宋_GB2312"/>
          <w:sz w:val="32"/>
          <w:szCs w:val="32"/>
        </w:rPr>
        <w:t>万元，主要包括：基本工资、津贴补贴、奖金、绩效工资、机关事业单位基本养老保险缴费、职业年金缴费、职工基本医疗保险缴费、公务员医疗补助缴费、其他社会保障缴费、住房公积金、医疗费；公用经费</w:t>
      </w:r>
      <w:r>
        <w:rPr>
          <w:rFonts w:hint="eastAsia" w:ascii="仿宋_GB2312" w:hAnsi="仿宋_GB2312" w:eastAsia="仿宋_GB2312" w:cs="仿宋_GB2312"/>
          <w:sz w:val="32"/>
          <w:szCs w:val="32"/>
          <w:lang w:val="en-US" w:eastAsia="zh-CN"/>
        </w:rPr>
        <w:t>4.48</w:t>
      </w:r>
      <w:r>
        <w:rPr>
          <w:rFonts w:hint="eastAsia" w:ascii="仿宋_GB2312" w:hAnsi="仿宋_GB2312" w:eastAsia="仿宋_GB2312" w:cs="仿宋_GB2312"/>
          <w:sz w:val="32"/>
          <w:szCs w:val="32"/>
        </w:rPr>
        <w:t>万元，主要包括：办公费、水费、电费、邮电费、</w:t>
      </w:r>
      <w:r>
        <w:rPr>
          <w:rFonts w:hint="eastAsia" w:ascii="仿宋_GB2312" w:hAnsi="仿宋_GB2312" w:eastAsia="仿宋_GB2312" w:cs="仿宋_GB2312"/>
          <w:sz w:val="32"/>
          <w:szCs w:val="32"/>
          <w:lang w:val="en-US" w:eastAsia="zh-CN"/>
        </w:rPr>
        <w:t>印刷费、</w:t>
      </w:r>
      <w:r>
        <w:rPr>
          <w:rFonts w:hint="eastAsia" w:ascii="仿宋_GB2312" w:hAnsi="仿宋_GB2312" w:eastAsia="仿宋_GB2312" w:cs="仿宋_GB2312"/>
          <w:sz w:val="32"/>
          <w:szCs w:val="32"/>
        </w:rPr>
        <w:t>取暖费、物业管理费、差旅费、培训费、工会经费、福利费</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度“三公”经费财政拨款支出预算为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%。2021 年度“三公”经费支出决算数与预算数差异原因为本单位年度无三公经费支出。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%。决算数与预算数存在差异的主要原因是本年度无此项公务支出。</w:t>
      </w:r>
      <w:r>
        <w:rPr>
          <w:rFonts w:hint="eastAsia" w:ascii="仿宋_GB2312" w:hAnsi="仿宋_GB2312" w:eastAsia="仿宋_GB2312" w:cs="仿宋_GB2312"/>
          <w:sz w:val="32"/>
          <w:szCs w:val="32"/>
          <w:u w:val="wave"/>
        </w:rPr>
        <w:t>全年因公出国（境）团组</w:t>
      </w:r>
      <w:r>
        <w:rPr>
          <w:rFonts w:hint="eastAsia" w:ascii="仿宋_GB2312" w:hAnsi="仿宋_GB2312" w:eastAsia="仿宋_GB2312" w:cs="仿宋_GB2312"/>
          <w:sz w:val="32"/>
          <w:szCs w:val="32"/>
          <w:u w:val="wave"/>
          <w:lang w:val="en-US" w:eastAsia="zh-CN"/>
        </w:rPr>
        <w:t>0</w:t>
      </w:r>
      <w:r>
        <w:rPr>
          <w:rFonts w:hint="eastAsia" w:ascii="仿宋_GB2312" w:hAnsi="仿宋_GB2312" w:eastAsia="仿宋_GB2312" w:cs="仿宋_GB2312"/>
          <w:sz w:val="32"/>
          <w:szCs w:val="32"/>
          <w:u w:val="wave"/>
        </w:rPr>
        <w:t>个，累计</w:t>
      </w:r>
      <w:r>
        <w:rPr>
          <w:rFonts w:hint="eastAsia" w:ascii="仿宋_GB2312" w:hAnsi="仿宋_GB2312" w:eastAsia="仿宋_GB2312" w:cs="仿宋_GB2312"/>
          <w:sz w:val="32"/>
          <w:szCs w:val="32"/>
          <w:u w:val="wave"/>
          <w:lang w:val="en-US" w:eastAsia="zh-CN"/>
        </w:rPr>
        <w:t>0</w:t>
      </w:r>
      <w:r>
        <w:rPr>
          <w:rFonts w:hint="eastAsia" w:ascii="仿宋_GB2312" w:hAnsi="仿宋_GB2312" w:eastAsia="仿宋_GB2312" w:cs="仿宋_GB2312"/>
          <w:sz w:val="32"/>
          <w:szCs w:val="32"/>
          <w:u w:val="wave"/>
        </w:rPr>
        <w:t>人次。</w:t>
      </w:r>
      <w:r>
        <w:rPr>
          <w:rFonts w:hint="eastAsia" w:ascii="仿宋_GB2312" w:hAnsi="仿宋_GB2312" w:eastAsia="仿宋_GB2312" w:cs="仿宋_GB2312"/>
          <w:sz w:val="32"/>
          <w:szCs w:val="32"/>
        </w:rPr>
        <w:t>开支内容包括：</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%。决算数与预算数存在差异的主要原因是是本年度无此项公务支出。其中：</w:t>
      </w:r>
    </w:p>
    <w:p>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期末，部门开支财政拨款的公务用车保有量为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%。决算数与预算数存在差异的主要原因是是本年度无此项公务支出。其中：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2021年，我部门（单位）纳入预算绩效管理的支出总额为126.36万元，其中人员经费支出121.88万元，公用经费支出4.48万元；支出项目共0个，支出金额0万元。其中，进行项目绩效自评0个，自评金额0万元；纳入重点绩效评价（部门评价或财政评价）0个，评价金额0万元。</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因我单位无项目预算，故本单位无项目绩效自评</w:t>
      </w:r>
      <w:r>
        <w:rPr>
          <w:rFonts w:hint="eastAsia" w:ascii="仿宋_GB2312" w:hAnsi="仿宋_GB2312" w:eastAsia="仿宋_GB2312" w:cs="仿宋_GB2312"/>
          <w:sz w:val="32"/>
          <w:szCs w:val="32"/>
          <w:lang w:eastAsia="zh-CN"/>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因我单位无项目预算，故本单位无项目绩效自评。</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度政府性基金预算财政拨款支出年初预算为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%。主要原因：我部门 2021 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十、机关运行经费支出情况说明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度机关运行经费</w:t>
      </w:r>
      <w:r>
        <w:rPr>
          <w:rFonts w:hint="eastAsia" w:ascii="仿宋_GB2312" w:hAnsi="仿宋_GB2312" w:eastAsia="仿宋_GB2312" w:cs="仿宋_GB2312"/>
          <w:sz w:val="32"/>
          <w:szCs w:val="32"/>
          <w:u w:val="dotDash"/>
        </w:rPr>
        <w:t>年</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%。决算数与年初预算数存在差异的主要原因是是我单位不是行政机关，也不是参照公务员管理事业单位，没有机关运行经费支出。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十二、国有资产占用情况说明</w:t>
      </w:r>
    </w:p>
    <w:p>
      <w:pPr>
        <w:widowControl/>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期末，我部门共有车辆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p>
    <w:p>
      <w:pPr>
        <w:widowControl/>
        <w:jc w:val="left"/>
        <w:rPr>
          <w:rFonts w:hint="eastAsia"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wps:txbx>
                    <wps:bodyPr wrap="none" lIns="0" tIns="0" rIns="0" bIns="0" upright="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wF90idMBAAClAwAADgAAAAAAAAABACAAAAAeAQAA&#10;ZHJzL2Uyb0RvYy54bWxQSwUGAAAAAAYABgBZAQAAY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OPeVx/UAQAApQMAAA4AAAAAAAAAAQAgAAAAHgEA&#10;AGRycy9lMm9Eb2MueG1sUEsFBgAAAAAGAAYAWQEAAGQ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wps:txbx>
                    <wps:bodyPr wrap="none" lIns="0" tIns="0" rIns="0" bIns="0" upright="0">
                      <a:spAutoFit/>
                    </wps:bodyPr>
                  </wps:wsp>
                </a:graphicData>
              </a:graphic>
            </wp:anchor>
          </w:drawing>
        </mc:Choice>
        <mc:Fallback>
          <w:pict>
            <v:shape id="文本框 205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BuuGmrUAQAApQMAAA4AAAAAAAAAAQAgAAAAHgEA&#10;AGRycy9lMm9Eb2MueG1sUEsFBgAAAAAGAAYAWQEAAGQ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WZmNDg1ZjhjNzg5NGQ5Yjk2YTAwOWVhNjkxMjAifQ=="/>
  </w:docVars>
  <w:rsids>
    <w:rsidRoot w:val="00000000"/>
    <w:rsid w:val="01453A77"/>
    <w:rsid w:val="068A502B"/>
    <w:rsid w:val="083D7AF2"/>
    <w:rsid w:val="09D83026"/>
    <w:rsid w:val="16DE2A14"/>
    <w:rsid w:val="18681E03"/>
    <w:rsid w:val="1F322385"/>
    <w:rsid w:val="1FA263AD"/>
    <w:rsid w:val="21DC286A"/>
    <w:rsid w:val="240E06F2"/>
    <w:rsid w:val="2750185C"/>
    <w:rsid w:val="2C250F60"/>
    <w:rsid w:val="2D5347F6"/>
    <w:rsid w:val="34BB2AED"/>
    <w:rsid w:val="38C84E9F"/>
    <w:rsid w:val="3E010AE2"/>
    <w:rsid w:val="3E4C25CA"/>
    <w:rsid w:val="4701142B"/>
    <w:rsid w:val="497A2108"/>
    <w:rsid w:val="4CAF7561"/>
    <w:rsid w:val="4EFC09E4"/>
    <w:rsid w:val="587F2E51"/>
    <w:rsid w:val="6F570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annotation reference"/>
    <w:basedOn w:val="5"/>
    <w:qFormat/>
    <w:uiPriority w:val="0"/>
    <w:rPr>
      <w:sz w:val="21"/>
      <w:szCs w:val="21"/>
    </w:rPr>
  </w:style>
  <w:style w:type="character" w:customStyle="1" w:styleId="7">
    <w:name w:val="font11"/>
    <w:basedOn w:val="5"/>
    <w:qFormat/>
    <w:uiPriority w:val="0"/>
    <w:rPr>
      <w:rFonts w:hint="eastAsia" w:ascii="宋体" w:hAnsi="宋体" w:eastAsia="宋体" w:cs="宋体"/>
      <w:color w:val="000000"/>
      <w:sz w:val="20"/>
      <w:szCs w:val="20"/>
      <w:u w:val="none"/>
    </w:rPr>
  </w:style>
  <w:style w:type="character" w:customStyle="1" w:styleId="8">
    <w:name w:val="font01"/>
    <w:basedOn w:val="5"/>
    <w:qFormat/>
    <w:uiPriority w:val="0"/>
    <w:rPr>
      <w:rFonts w:hint="eastAsia" w:ascii="宋体" w:hAnsi="宋体" w:eastAsia="宋体" w:cs="宋体"/>
      <w:color w:val="000000"/>
      <w:sz w:val="22"/>
      <w:szCs w:val="22"/>
      <w:u w:val="none"/>
    </w:rPr>
  </w:style>
  <w:style w:type="character" w:customStyle="1" w:styleId="9">
    <w:name w:val="font5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7300</Words>
  <Characters>8642</Characters>
  <Lines>0</Lines>
  <Paragraphs>0</Paragraphs>
  <TotalTime>28</TotalTime>
  <ScaleCrop>false</ScaleCrop>
  <LinksUpToDate>false</LinksUpToDate>
  <CharactersWithSpaces>9058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阿Jo</cp:lastModifiedBy>
  <dcterms:modified xsi:type="dcterms:W3CDTF">2023-08-07T02:58:16Z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1A6E5C3604444F02B3076061275A6BEE_13</vt:lpwstr>
  </property>
</Properties>
</file>