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4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eastAsia="zh-CN"/>
        </w:rPr>
        <w:t>市委政法委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val="en-US" w:eastAsia="zh-CN"/>
        </w:rPr>
        <w:t>2021年度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eastAsia="zh-CN"/>
        </w:rPr>
        <w:t>项目支出绩效自评报告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  <w:rPr>
          <w:rFonts w:hint="eastAsia"/>
          <w:lang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  <w:t>项目支出基本情况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.项目年度预算绩效目标、绩效指标设定情况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240" w:afterAutospacing="0" w:line="400" w:lineRule="atLeas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根据单位职能任务需要，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我委20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年年初项目支出预算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400.4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万元。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本年度项目支出预算共分为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派驻纪检监察组公用、业务开展经费、政法工作经费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、政法宣传工作经费、法学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调研经费、法学研讨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队伍建设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工作经费、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综治工作经费、保安参加治安巡逻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执法检查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专项工作经费等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个具体项目开支。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市委政法委领导和综合协调全市政法工作的职能部门，担负着统一部署全市政法队伍建设、执法监督法治工作、综合治理、维护稳定、扫黑除恶等重要工作任务，开展平安三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门峡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创建活动，推进社会治安综合治理工作，维护社会和谐稳定，为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三门峡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建设提供重要法治保障。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绩效指标设定为：群众社会安全感和群众政法机关（政法队伍）执法工作满意度均达90％以上，不低于上年指标。该2项指标采用省统计局组织全省范围社会调查所提供的数据。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firstLine="600" w:firstLineChars="200"/>
        <w:textAlignment w:val="auto"/>
        <w:rPr>
          <w:rFonts w:hint="eastAsia"/>
          <w:color w:val="222222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/>
          <w:color w:val="222222"/>
          <w:sz w:val="28"/>
          <w:szCs w:val="28"/>
        </w:rPr>
      </w:pPr>
      <w:r>
        <w:rPr>
          <w:rFonts w:hint="eastAsia"/>
          <w:color w:val="222222"/>
          <w:sz w:val="28"/>
          <w:szCs w:val="28"/>
        </w:rPr>
        <w:t>（一）项目资金安排落实、总投入等情况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政法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委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工作项目资金为市级财政资金，20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年预算安排项目资金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400.40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万元，实际到位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400.40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万元。其中：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派驻纪检监察组公用、业务开展经费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21.40万元，实际到位21.40万元；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政法工作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专项经费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万元，实际到位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万元；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队伍建设专项经费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万元，实际到位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万元；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执法检查活动专项经费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15万元，实际到位15万元；严打整治工作专项经费6万元，实际到位6万元。稳定工作专项经费12万元，实际到位12万元；政法宣传工作经费7万元，实际到位7万元；综治工作专项经费156万元，实际到位156万元；争创综治优秀市20万元，实际到位20万元；教育培训专项经费20万元，实际到位20万元；保安参加治安巡逻经费110万元，实际到位110万元；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法学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调研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工作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万元，实际到位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万元；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法学研讨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工作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万元，实际到位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（二）项目资金实际使用情况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年项目资金本级支出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400.4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万元，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完成年初预算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（三）项目资金管理情况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各类支出由各部门申报预算，经办公室审查，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千元以上支出经委办公室主任审核，负责常务工作的委领导审批，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万元以上支出经书记办公会讨论通过，最终经单位财务负责人同意后支付。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/>
          <w:color w:val="222222"/>
          <w:sz w:val="32"/>
          <w:szCs w:val="32"/>
        </w:rPr>
      </w:pPr>
      <w:r>
        <w:rPr>
          <w:rFonts w:hint="eastAsia"/>
          <w:b/>
          <w:bCs/>
          <w:color w:val="222222"/>
          <w:sz w:val="32"/>
          <w:szCs w:val="32"/>
        </w:rPr>
        <w:t>三、项目组织实施情况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（一）项目组织情况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项目由委内部控制领导小组总体负责，各相关业务部门牵头实施，办公室提供经费保障。政法委日常运转项目主要由办公室负责实施；政法工作按业务类别由政治部、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研究室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宣传科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执法监督科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督查督办科、综治指导科、基层社会治理科、平安创建科、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等业务部门牵头组合实施；涉法涉诉救助工作项目由执法监督室牵头组织实施。严格执行省、市财政管理规定要求，50万以上项目进行政府采购，200万元以上项目实行公开招标。20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21年度我委根据省委政法委要求建立“关爱之家”按照招投标审批程序由河南荣庆建筑工程有限公司承接“关爱之家”装修装饰工程项目，项目总金额为124.70万元。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根据市委政法委合同管理办法规定，原则上都签订经济合同。项目验收及时、手续完整、归档合规、质量达标。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（二）项目管理情况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根据《行政单位会计管理制度》及相关规定要求，结合政法工作实际，制定《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  <w:t>中共三门峡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市委政法委财务管理制度》，建立财务管理体制和预算编报、预算追加调整、预算执行、支出业务、采购计划申报、合同管理业务等流程图，规范了项目管理。成立市委政法委内部控制领导小组，负责组织项目业务部门开展项目计划制订、风险评估、审核、执行、监督、验收等工作，保证了项目的合规有序执行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  <w:t>（一）自评结果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55" w:beforeAutospacing="0" w:after="255" w:afterAutospacing="0" w:line="400" w:lineRule="atLeast"/>
        <w:ind w:firstLine="720"/>
        <w:textAlignment w:val="auto"/>
        <w:rPr>
          <w:rFonts w:hint="eastAsia" w:ascii="仿宋_GB2312" w:hAnsi="Arial" w:eastAsia="仿宋_GB2312" w:cs="Arial"/>
          <w:color w:val="333333"/>
          <w:sz w:val="32"/>
          <w:szCs w:val="32"/>
        </w:rPr>
      </w:pPr>
      <w:r>
        <w:rPr>
          <w:rFonts w:hint="eastAsia" w:ascii="仿宋_GB2312" w:hAnsi="Arial" w:eastAsia="仿宋_GB2312" w:cs="Arial"/>
          <w:color w:val="333333"/>
          <w:sz w:val="28"/>
          <w:szCs w:val="28"/>
        </w:rPr>
        <w:t>20</w:t>
      </w:r>
      <w:r>
        <w:rPr>
          <w:rFonts w:hint="eastAsia" w:ascii="仿宋_GB2312" w:hAnsi="Arial" w:eastAsia="仿宋_GB2312" w:cs="Arial"/>
          <w:color w:val="333333"/>
          <w:sz w:val="28"/>
          <w:szCs w:val="28"/>
          <w:lang w:val="en-US" w:eastAsia="zh-CN"/>
        </w:rPr>
        <w:t>21</w:t>
      </w:r>
      <w:r>
        <w:rPr>
          <w:rFonts w:hint="eastAsia" w:ascii="仿宋_GB2312" w:hAnsi="Arial" w:eastAsia="仿宋_GB2312" w:cs="Arial"/>
          <w:color w:val="333333"/>
          <w:sz w:val="28"/>
          <w:szCs w:val="28"/>
        </w:rPr>
        <w:t>年，我委积极履职、强化管理，较好地完成了年度工作目标。通过加强预算收支管理，不断建立内部管理制度，梳理内部管理流程，部门整体支出管理水平得到提升</w:t>
      </w:r>
      <w:r>
        <w:rPr>
          <w:rFonts w:hint="eastAsia" w:ascii="仿宋_GB2312" w:hAnsi="Arial" w:eastAsia="仿宋_GB2312" w:cs="Arial"/>
          <w:color w:val="333333"/>
          <w:sz w:val="32"/>
          <w:szCs w:val="32"/>
        </w:rPr>
        <w:t>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55" w:beforeAutospacing="0" w:after="255" w:afterAutospacing="0" w:line="400" w:lineRule="atLeast"/>
        <w:ind w:firstLine="720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本年度项目支出预算共分为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派驻纪检监察组公用、业务开展经费、政法工作经费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、政法宣传工作经费、法学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调研经费、法学研讨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队伍建设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工作经费、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综治工作经费、保安参加治安巡逻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经费、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eastAsia="zh-CN"/>
        </w:rPr>
        <w:t>执法检查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专项工作经费等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</w:rPr>
        <w:t>个具体项目开支。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完成绩效目标的项目数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10个；没有完成绩效目标的项目数3个，分别是派驻纪检监察组工作经费完成率为23%，争创综治优秀市工作经费完成率为63%，教育培训专项经费完成率为64%。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firstLine="602" w:firstLineChars="200"/>
        <w:textAlignment w:val="auto"/>
        <w:rPr>
          <w:rFonts w:hint="eastAsia" w:ascii="楷体_GB2312" w:hAnsi="楷体_GB2312" w:eastAsia="楷体_GB2312" w:cs="楷体_GB2312"/>
          <w:b/>
          <w:bCs w:val="0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 w:val="0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  <w:t>（二）偏差较大项目说明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atLeast"/>
        <w:ind w:left="0" w:right="0" w:firstLine="840" w:firstLineChars="300"/>
        <w:jc w:val="both"/>
        <w:textAlignment w:val="auto"/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派驻纪检监察组工作经费完成率为23%，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"/>
        </w:rPr>
        <w:t>市纪委监委派驻市委政法委纪检监察组现有工作人员4人，日常办公经费支出较少，202</w:t>
      </w:r>
      <w:r>
        <w:rPr>
          <w:rFonts w:hint="eastAsia" w:ascii="仿宋_GB2312" w:hAnsi="仿宋_GB2312" w:cs="仿宋_GB2312"/>
          <w:kern w:val="2"/>
          <w:sz w:val="28"/>
          <w:szCs w:val="28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"/>
        </w:rPr>
        <w:t>年无大额固定资产购置，疫情期间，外出学习培训也较少；同时按照工作职责，派驻纪检组开展工作主要集中在三门峡市范围内，出市出省办理案件、审查调查次数不多，相关经费支出较少，导致预算资金完成率偏低.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55" w:beforeAutospacing="0" w:after="255" w:afterAutospacing="0" w:line="400" w:lineRule="atLeast"/>
        <w:ind w:firstLine="720"/>
        <w:textAlignment w:val="auto"/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争创综治优秀市工作经费完成率为63%，完成率偏低的原因：因2021年底银行没有资金支付报销费用导致预算资金完成率偏低，实际支出率应该是100%。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55" w:beforeAutospacing="0" w:after="255" w:afterAutospacing="0" w:line="400" w:lineRule="atLeast"/>
        <w:ind w:firstLine="720"/>
        <w:textAlignment w:val="auto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lang w:val="en-US" w:eastAsia="zh-CN"/>
        </w:rPr>
        <w:t>教育培训专项经费完成率为64%，完成率偏低的原因：2021年因疫情原因部分培训工作取消，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导致预算资金完成率偏低。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.存在问题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部分项目执行率较低，主要是项目设置不够科学、严谨，受外部因素影响，部分项目工作推进缓慢；项目支出绩效评价指标设置不够全面、精细。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后续工作计划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1.进一步完善财务管理制度和内部控制管理措施，规范项目执行程序，推进项目有效执行。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222222"/>
          <w:sz w:val="28"/>
          <w:szCs w:val="28"/>
        </w:rPr>
        <w:t>2.加强项目支出的监督检查，抓好执行率低项目的整改工作，落实项目执行主体责任。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四、绩效自评工作建议及预算安排建议</w:t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beforeAutospacing="0" w:after="0" w:afterAutospacing="0" w:line="400" w:lineRule="atLeast"/>
        <w:ind w:left="0" w:right="0" w:firstLine="641"/>
        <w:jc w:val="both"/>
        <w:textAlignment w:val="auto"/>
        <w:rPr>
          <w:rFonts w:ascii="å®‹ä½“" w:hAnsi="å®‹ä½“" w:eastAsia="å®‹ä½“" w:cs="å®‹ä½“"/>
          <w:i w:val="0"/>
          <w:caps w:val="0"/>
          <w:color w:val="333333"/>
          <w:spacing w:val="0"/>
          <w:sz w:val="28"/>
          <w:szCs w:val="28"/>
        </w:rPr>
      </w:pPr>
      <w:r>
        <w:rPr>
          <w:rFonts w:ascii="仿宋_GB2312" w:hAnsi="å®‹ä½“" w:eastAsia="仿宋_GB2312" w:cs="仿宋_GB2312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我委将以此次绩效考评工作为新起点，加强业务学习，加大宣传力度，组织相关业务科室人员认真领会，充分认识财政支出绩效评价的重要性和必要性。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atLeast"/>
        <w:ind w:left="0" w:right="0" w:firstLine="640"/>
        <w:jc w:val="both"/>
        <w:textAlignment w:val="auto"/>
        <w:rPr>
          <w:rFonts w:hint="default" w:ascii="å®‹ä½“" w:hAnsi="å®‹ä½“" w:eastAsia="å®‹ä½“" w:cs="å®‹ä½“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å®‹ä½“" w:eastAsia="仿宋_GB2312" w:cs="仿宋_GB2312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今后，我们将更加全面、细致地制定绩效目标，进一步严肃财经纪律，在实施中遵循“实事求是、尊重客观、力求精准”的原则，努力使项目资金落到实处。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atLeast"/>
        <w:ind w:left="0" w:right="0" w:firstLine="640"/>
        <w:jc w:val="both"/>
        <w:textAlignment w:val="auto"/>
        <w:rPr>
          <w:rFonts w:hint="default" w:ascii="å®‹ä½“" w:hAnsi="å®‹ä½“" w:eastAsia="å®‹ä½“" w:cs="å®‹ä½“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å®‹ä½“" w:eastAsia="仿宋_GB2312" w:cs="仿宋_GB2312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结合单位的实际和业务的特点，制定出台专项工作经费使用管理办法。加强资金的预算和管理使用，提高资金的使用效率。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atLeast"/>
        <w:ind w:left="0" w:right="0" w:firstLine="64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u w:val="none"/>
          <w:lang w:eastAsia="zh-CN"/>
        </w:rPr>
      </w:pPr>
      <w:r>
        <w:rPr>
          <w:rFonts w:hint="eastAsia" w:ascii="仿宋_GB2312" w:hAnsi="å®‹ä½“" w:eastAsia="仿宋_GB2312" w:cs="仿宋_GB2312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建议财政部门加强业务培训，组织相关单位人员学习交流以拓展工作思路。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leftChars="200" w:firstLine="300" w:firstLineChars="1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无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leftChars="200" w:firstLine="300" w:firstLineChars="1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leftChars="200" w:firstLine="320" w:firstLineChars="100"/>
        <w:jc w:val="right"/>
        <w:textAlignment w:val="auto"/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u w:val="none"/>
          <w:lang w:eastAsia="zh-CN"/>
        </w:rPr>
        <w:t>中共三门峡市委政法委员会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00" w:lineRule="atLeast"/>
        <w:ind w:leftChars="200" w:firstLine="320" w:firstLineChars="100"/>
        <w:jc w:val="center"/>
        <w:textAlignment w:val="auto"/>
        <w:rPr>
          <w:rFonts w:hint="default" w:ascii="仿宋_GB2312" w:hAnsi="仿宋_GB2312" w:cs="仿宋_GB2312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u w:val="none"/>
          <w:lang w:val="en-US" w:eastAsia="zh-CN"/>
        </w:rPr>
        <w:t xml:space="preserve">                      2022年5月23日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ind w:leftChars="200" w:firstLine="300" w:firstLineChars="100"/>
        <w:jc w:val="right"/>
        <w:textAlignment w:val="auto"/>
        <w:rPr>
          <w:rFonts w:hint="default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</w:rPr>
      </w:pPr>
      <w:bookmarkStart w:id="0" w:name="_GoBack"/>
      <w:bookmarkEnd w:id="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0" w:afterAutospacing="0" w:line="400" w:lineRule="atLeast"/>
        <w:ind w:firstLine="480"/>
        <w:textAlignment w:val="auto"/>
        <w:rPr>
          <w:rFonts w:hint="eastAsia" w:ascii="仿宋_GB2312" w:hAnsi="仿宋_GB2312" w:eastAsia="仿宋_GB2312" w:cs="仿宋_GB2312"/>
          <w:color w:val="222222"/>
          <w:sz w:val="28"/>
          <w:szCs w:val="28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0"/>
          <w:szCs w:val="40"/>
          <w:highlight w:val="none"/>
          <w:u w:val="none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å®‹ä½“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134F6"/>
    <w:rsid w:val="116802D1"/>
    <w:rsid w:val="2E8134F6"/>
    <w:rsid w:val="44263236"/>
    <w:rsid w:val="519A4062"/>
    <w:rsid w:val="5D7F7B44"/>
    <w:rsid w:val="7701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2022-04-13T01:46:00Z</dcterms:created>
  <dc:creator>ZFZX</dc:creator>
  <cp:lastModifiedBy>小乖乖</cp:lastModifiedBy>
  <dcterms:modified xsi:type="dcterms:W3CDTF">2022-05-23T10:52:52Z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