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75" w:beforeAutospacing="0" w:after="225" w:afterAutospacing="0" w:line="255" w:lineRule="atLeast"/>
        <w:jc w:val="center"/>
        <w:rPr>
          <w:rFonts w:ascii="微软雅黑" w:hAnsi="微软雅黑" w:eastAsia="微软雅黑"/>
          <w:color w:val="333333"/>
        </w:rPr>
      </w:pPr>
      <w:bookmarkStart w:id="0" w:name="_GoBack"/>
      <w:bookmarkEnd w:id="0"/>
      <w:r>
        <w:rPr>
          <w:rFonts w:hint="eastAsia" w:ascii="黑体" w:hAnsi="黑体" w:eastAsia="黑体"/>
          <w:color w:val="333333"/>
          <w:sz w:val="53"/>
          <w:szCs w:val="53"/>
        </w:rPr>
        <w:t>中共三门峡市委统一战线工作部</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ascii="黑体" w:hAnsi="黑体" w:eastAsia="黑体"/>
          <w:color w:val="333333"/>
          <w:sz w:val="53"/>
          <w:szCs w:val="53"/>
        </w:rPr>
        <w:t>2021年度部门决算</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color w:val="333333"/>
          <w:sz w:val="53"/>
          <w:szCs w:val="53"/>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ascii="黑体" w:hAnsi="黑体" w:eastAsia="黑体"/>
          <w:color w:val="333333"/>
          <w:sz w:val="32"/>
          <w:szCs w:val="32"/>
        </w:rPr>
        <w:t>二〇二二年九月</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ascii="Calibri" w:hAnsi="Calibri" w:eastAsia="微软雅黑"/>
          <w:color w:val="333333"/>
          <w:sz w:val="32"/>
          <w:szCs w:val="32"/>
        </w:rPr>
        <w:t> </w:t>
      </w:r>
    </w:p>
    <w:p>
      <w:pPr>
        <w:pStyle w:val="2"/>
        <w:shd w:val="clear" w:color="auto" w:fill="FFFFFF"/>
        <w:spacing w:before="75" w:beforeAutospacing="0" w:after="225" w:afterAutospacing="0" w:line="255" w:lineRule="atLeast"/>
        <w:jc w:val="center"/>
        <w:rPr>
          <w:rFonts w:hint="eastAsia" w:ascii="微软雅黑" w:hAnsi="微软雅黑" w:eastAsia="微软雅黑"/>
          <w:color w:val="333333"/>
        </w:rPr>
      </w:pPr>
      <w:r>
        <w:rPr>
          <w:rFonts w:hint="eastAsia" w:ascii="微软雅黑" w:hAnsi="微软雅黑" w:eastAsia="微软雅黑"/>
          <w:color w:val="333333"/>
        </w:rPr>
        <w:t> </w:t>
      </w:r>
    </w:p>
    <w:p>
      <w:pPr>
        <w:pStyle w:val="2"/>
        <w:shd w:val="clear" w:color="auto" w:fill="FFFFFF"/>
        <w:spacing w:before="75" w:beforeAutospacing="0" w:after="225" w:afterAutospacing="0" w:line="600" w:lineRule="atLeast"/>
        <w:jc w:val="center"/>
        <w:rPr>
          <w:rFonts w:hint="eastAsia" w:ascii="微软雅黑" w:hAnsi="微软雅黑" w:eastAsia="微软雅黑"/>
          <w:color w:val="333333"/>
        </w:rPr>
      </w:pPr>
      <w:r>
        <w:rPr>
          <w:rFonts w:hint="eastAsia" w:ascii="黑体" w:hAnsi="黑体" w:eastAsia="黑体"/>
          <w:color w:val="333333"/>
          <w:sz w:val="36"/>
          <w:szCs w:val="36"/>
        </w:rPr>
        <w:t>目</w:t>
      </w:r>
      <w:r>
        <w:rPr>
          <w:rFonts w:hint="eastAsia"/>
          <w:color w:val="333333"/>
          <w:sz w:val="36"/>
          <w:szCs w:val="36"/>
        </w:rPr>
        <w:t>   </w:t>
      </w:r>
      <w:r>
        <w:rPr>
          <w:rFonts w:hint="eastAsia" w:ascii="黑体" w:hAnsi="黑体" w:eastAsia="黑体"/>
          <w:color w:val="333333"/>
          <w:sz w:val="36"/>
          <w:szCs w:val="36"/>
        </w:rPr>
        <w:t>录</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第一部分</w:t>
      </w:r>
      <w:r>
        <w:rPr>
          <w:rFonts w:hint="eastAsia"/>
          <w:color w:val="333333"/>
          <w:sz w:val="32"/>
          <w:szCs w:val="32"/>
        </w:rPr>
        <w:t>  </w:t>
      </w:r>
      <w:r>
        <w:rPr>
          <w:rFonts w:hint="eastAsia" w:ascii="黑体" w:hAnsi="黑体" w:eastAsia="黑体"/>
          <w:color w:val="333333"/>
          <w:sz w:val="32"/>
          <w:szCs w:val="32"/>
        </w:rPr>
        <w:t>部门概况</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一、部门职责</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二、机构设置</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第二部分</w:t>
      </w:r>
      <w:r>
        <w:rPr>
          <w:rFonts w:hint="eastAsia"/>
          <w:color w:val="333333"/>
          <w:sz w:val="32"/>
          <w:szCs w:val="32"/>
        </w:rPr>
        <w:t>  </w:t>
      </w:r>
      <w:r>
        <w:rPr>
          <w:rFonts w:hint="eastAsia" w:ascii="黑体" w:hAnsi="黑体" w:eastAsia="黑体"/>
          <w:color w:val="333333"/>
          <w:sz w:val="32"/>
          <w:szCs w:val="32"/>
        </w:rPr>
        <w:t>2021年度部门决算表</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中共三门峡市委统一战线工作部2021年度部门决算公开表</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一、收入支出决算总表</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二、收入决算表</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三、支出决算表</w:t>
      </w:r>
      <w:r>
        <w:rPr>
          <w:rFonts w:ascii="Calibri" w:hAnsi="Calibri" w:eastAsia="仿宋" w:cs="Calibri"/>
          <w:color w:val="333333"/>
          <w:sz w:val="32"/>
          <w:szCs w:val="32"/>
        </w:rPr>
        <w:t> </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四、财政拨款收入支出决算总表</w:t>
      </w:r>
      <w:r>
        <w:rPr>
          <w:rFonts w:ascii="Calibri" w:hAnsi="Calibri" w:eastAsia="仿宋" w:cs="Calibri"/>
          <w:color w:val="333333"/>
          <w:sz w:val="32"/>
          <w:szCs w:val="32"/>
        </w:rPr>
        <w:t> </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五、一般公共预算财政拨款支出决算表</w:t>
      </w:r>
      <w:r>
        <w:rPr>
          <w:rFonts w:ascii="Calibri" w:hAnsi="Calibri" w:eastAsia="仿宋" w:cs="Calibri"/>
          <w:color w:val="333333"/>
          <w:sz w:val="32"/>
          <w:szCs w:val="32"/>
        </w:rPr>
        <w:t> </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六、一般公共预算财政拨款基本支出决算表</w:t>
      </w:r>
      <w:r>
        <w:rPr>
          <w:rFonts w:ascii="Calibri" w:hAnsi="Calibri" w:eastAsia="仿宋" w:cs="Calibri"/>
          <w:color w:val="333333"/>
          <w:sz w:val="32"/>
          <w:szCs w:val="32"/>
        </w:rPr>
        <w:t> </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七、一般公共预算财政拨款“三公”经费支出决算表</w:t>
      </w:r>
      <w:r>
        <w:rPr>
          <w:rFonts w:ascii="Calibri" w:hAnsi="Calibri" w:eastAsia="仿宋" w:cs="Calibri"/>
          <w:color w:val="333333"/>
          <w:sz w:val="32"/>
          <w:szCs w:val="32"/>
        </w:rPr>
        <w:t> </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八、政府性基金预算财政拨款收入支出决算表</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第三部分</w:t>
      </w:r>
      <w:r>
        <w:rPr>
          <w:rFonts w:hint="eastAsia"/>
          <w:color w:val="333333"/>
          <w:sz w:val="32"/>
          <w:szCs w:val="32"/>
        </w:rPr>
        <w:t>  </w:t>
      </w:r>
      <w:r>
        <w:rPr>
          <w:rFonts w:hint="eastAsia" w:ascii="黑体" w:hAnsi="黑体" w:eastAsia="黑体"/>
          <w:color w:val="333333"/>
          <w:sz w:val="32"/>
          <w:szCs w:val="32"/>
        </w:rPr>
        <w:t>2021年度部门决算情况说明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一、</w:t>
      </w:r>
      <w:r>
        <w:rPr>
          <w:rFonts w:ascii="Calibri" w:hAnsi="Calibri" w:eastAsia="仿宋" w:cs="Calibri"/>
          <w:color w:val="333333"/>
          <w:sz w:val="32"/>
          <w:szCs w:val="32"/>
        </w:rPr>
        <w:t> </w:t>
      </w:r>
      <w:r>
        <w:rPr>
          <w:rFonts w:hint="eastAsia" w:ascii="仿宋" w:hAnsi="仿宋" w:eastAsia="仿宋"/>
          <w:color w:val="333333"/>
          <w:sz w:val="32"/>
          <w:szCs w:val="32"/>
        </w:rPr>
        <w:t>关于收入支出决算总体情况说明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二、</w:t>
      </w:r>
      <w:r>
        <w:rPr>
          <w:rFonts w:ascii="Calibri" w:hAnsi="Calibri" w:eastAsia="仿宋" w:cs="Calibri"/>
          <w:color w:val="333333"/>
          <w:sz w:val="32"/>
          <w:szCs w:val="32"/>
        </w:rPr>
        <w:t> </w:t>
      </w:r>
      <w:r>
        <w:rPr>
          <w:rFonts w:hint="eastAsia" w:ascii="仿宋" w:hAnsi="仿宋" w:eastAsia="仿宋"/>
          <w:color w:val="333333"/>
          <w:sz w:val="32"/>
          <w:szCs w:val="32"/>
        </w:rPr>
        <w:t>关于收入决算情况说明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三、</w:t>
      </w:r>
      <w:r>
        <w:rPr>
          <w:rFonts w:ascii="Calibri" w:hAnsi="Calibri" w:eastAsia="仿宋" w:cs="Calibri"/>
          <w:color w:val="333333"/>
          <w:sz w:val="32"/>
          <w:szCs w:val="32"/>
        </w:rPr>
        <w:t> </w:t>
      </w:r>
      <w:r>
        <w:rPr>
          <w:rFonts w:hint="eastAsia" w:ascii="仿宋" w:hAnsi="仿宋" w:eastAsia="仿宋"/>
          <w:color w:val="333333"/>
          <w:sz w:val="32"/>
          <w:szCs w:val="32"/>
        </w:rPr>
        <w:t>关于支出决算情况说明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四、</w:t>
      </w:r>
      <w:r>
        <w:rPr>
          <w:rFonts w:ascii="Calibri" w:hAnsi="Calibri" w:eastAsia="仿宋" w:cs="Calibri"/>
          <w:color w:val="333333"/>
          <w:sz w:val="32"/>
          <w:szCs w:val="32"/>
        </w:rPr>
        <w:t> </w:t>
      </w:r>
      <w:r>
        <w:rPr>
          <w:rFonts w:hint="eastAsia" w:ascii="仿宋" w:hAnsi="仿宋" w:eastAsia="仿宋"/>
          <w:color w:val="333333"/>
          <w:sz w:val="32"/>
          <w:szCs w:val="32"/>
        </w:rPr>
        <w:t>关于财政拨款收入支出决算总体情况说明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五、</w:t>
      </w:r>
      <w:r>
        <w:rPr>
          <w:rFonts w:ascii="Calibri" w:hAnsi="Calibri" w:eastAsia="仿宋" w:cs="Calibri"/>
          <w:color w:val="333333"/>
          <w:sz w:val="32"/>
          <w:szCs w:val="32"/>
        </w:rPr>
        <w:t> </w:t>
      </w:r>
      <w:r>
        <w:rPr>
          <w:rFonts w:hint="eastAsia" w:ascii="仿宋" w:hAnsi="仿宋" w:eastAsia="仿宋"/>
          <w:color w:val="333333"/>
          <w:sz w:val="32"/>
          <w:szCs w:val="32"/>
        </w:rPr>
        <w:t>关于一般公共预算财政拨款支出决算情况说明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六、</w:t>
      </w:r>
      <w:r>
        <w:rPr>
          <w:rFonts w:ascii="Calibri" w:hAnsi="Calibri" w:eastAsia="仿宋" w:cs="Calibri"/>
          <w:color w:val="333333"/>
          <w:sz w:val="32"/>
          <w:szCs w:val="32"/>
        </w:rPr>
        <w:t> </w:t>
      </w:r>
      <w:r>
        <w:rPr>
          <w:rFonts w:hint="eastAsia" w:ascii="仿宋" w:hAnsi="仿宋" w:eastAsia="仿宋"/>
          <w:color w:val="333333"/>
          <w:sz w:val="32"/>
          <w:szCs w:val="32"/>
        </w:rPr>
        <w:t>关于一般公共预算财政拨款基本支出决算情况说明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pacing w:val="-15"/>
          <w:sz w:val="32"/>
          <w:szCs w:val="32"/>
        </w:rPr>
        <w:t>七、</w:t>
      </w:r>
      <w:r>
        <w:rPr>
          <w:rFonts w:ascii="Calibri" w:hAnsi="Calibri" w:eastAsia="仿宋" w:cs="Calibri"/>
          <w:color w:val="333333"/>
          <w:spacing w:val="-15"/>
          <w:sz w:val="32"/>
          <w:szCs w:val="32"/>
        </w:rPr>
        <w:t> </w:t>
      </w:r>
      <w:r>
        <w:rPr>
          <w:rFonts w:hint="eastAsia" w:ascii="仿宋" w:hAnsi="仿宋" w:eastAsia="仿宋"/>
          <w:color w:val="333333"/>
          <w:spacing w:val="-15"/>
          <w:sz w:val="32"/>
          <w:szCs w:val="32"/>
        </w:rPr>
        <w:t>关于一般公共预算财政拨款“三公”经费支出决算情况说明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八、</w:t>
      </w:r>
      <w:r>
        <w:rPr>
          <w:rFonts w:ascii="Calibri" w:hAnsi="Calibri" w:eastAsia="仿宋" w:cs="Calibri"/>
          <w:color w:val="333333"/>
          <w:sz w:val="32"/>
          <w:szCs w:val="32"/>
        </w:rPr>
        <w:t> </w:t>
      </w:r>
      <w:r>
        <w:rPr>
          <w:rFonts w:hint="eastAsia" w:ascii="仿宋" w:hAnsi="仿宋" w:eastAsia="仿宋"/>
          <w:color w:val="333333"/>
          <w:sz w:val="32"/>
          <w:szCs w:val="32"/>
        </w:rPr>
        <w:t>关于预算绩效情况说明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九、关于政府性基金预算财政拨款支出决算情况说明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十、机关运行经费支出情况说明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十一、政府采购支出情况说明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十二、国有资产占用情况说明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十三、其他重要事项的情况说明</w:t>
      </w:r>
    </w:p>
    <w:p>
      <w:pPr>
        <w:pStyle w:val="2"/>
        <w:shd w:val="clear" w:color="auto" w:fill="FFFFFF"/>
        <w:spacing w:before="75" w:beforeAutospacing="0" w:after="22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第四部分</w:t>
      </w:r>
      <w:r>
        <w:rPr>
          <w:rFonts w:hint="eastAsia"/>
          <w:color w:val="333333"/>
          <w:sz w:val="32"/>
          <w:szCs w:val="32"/>
        </w:rPr>
        <w:t>  </w:t>
      </w:r>
      <w:r>
        <w:rPr>
          <w:rFonts w:hint="eastAsia" w:ascii="黑体" w:hAnsi="黑体" w:eastAsia="黑体"/>
          <w:color w:val="333333"/>
          <w:sz w:val="32"/>
          <w:szCs w:val="32"/>
        </w:rPr>
        <w:t>名词解释</w:t>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hint="eastAsia" w:ascii="黑体" w:hAnsi="黑体" w:eastAsia="黑体"/>
          <w:color w:val="333333"/>
          <w:sz w:val="48"/>
          <w:szCs w:val="48"/>
        </w:rPr>
        <w:t>第一部分</w:t>
      </w:r>
      <w:r>
        <w:rPr>
          <w:rFonts w:hint="eastAsia"/>
          <w:color w:val="333333"/>
          <w:sz w:val="48"/>
          <w:szCs w:val="48"/>
        </w:rPr>
        <w:t> </w:t>
      </w:r>
      <w:r>
        <w:rPr>
          <w:rFonts w:hint="eastAsia" w:ascii="黑体" w:hAnsi="黑体" w:eastAsia="黑体"/>
          <w:color w:val="333333"/>
          <w:sz w:val="48"/>
          <w:szCs w:val="48"/>
        </w:rPr>
        <w:t>部门概况</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ascii="Calibri" w:hAnsi="Calibri" w:eastAsia="微软雅黑"/>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ascii="Arial" w:hAnsi="Arial" w:eastAsia="微软雅黑" w:cs="Arial"/>
          <w:color w:val="333333"/>
          <w:sz w:val="32"/>
          <w:szCs w:val="32"/>
        </w:rPr>
        <w:t>一、</w:t>
      </w:r>
      <w:r>
        <w:rPr>
          <w:rFonts w:ascii="Calibri" w:hAnsi="Calibri" w:eastAsia="微软雅黑"/>
          <w:color w:val="333333"/>
          <w:sz w:val="32"/>
          <w:szCs w:val="32"/>
        </w:rPr>
        <w:t> </w:t>
      </w:r>
      <w:r>
        <w:rPr>
          <w:rFonts w:hint="eastAsia" w:ascii="黑体" w:hAnsi="黑体" w:eastAsia="黑体"/>
          <w:color w:val="333333"/>
          <w:sz w:val="32"/>
          <w:szCs w:val="32"/>
        </w:rPr>
        <w:t>部门职责</w:t>
      </w:r>
    </w:p>
    <w:p>
      <w:pPr>
        <w:pStyle w:val="2"/>
        <w:shd w:val="clear" w:color="auto" w:fill="FFFFFF"/>
        <w:spacing w:before="75" w:beforeAutospacing="0" w:after="75" w:afterAutospacing="0"/>
        <w:ind w:firstLine="615"/>
        <w:rPr>
          <w:rFonts w:hint="eastAsia" w:ascii="微软雅黑" w:hAnsi="微软雅黑" w:eastAsia="微软雅黑"/>
          <w:color w:val="333333"/>
        </w:rPr>
      </w:pPr>
      <w:r>
        <w:rPr>
          <w:rFonts w:hint="eastAsia" w:ascii="仿宋" w:hAnsi="仿宋" w:eastAsia="仿宋"/>
          <w:color w:val="333333"/>
          <w:sz w:val="32"/>
          <w:szCs w:val="32"/>
        </w:rPr>
        <w:t>机构改革后我部部门职责涉密，按规定不予公开。</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二、机构设置</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内设机构11个，包括办公室、政策理论研究室、干部科、民主党派工作科、民族宗教工作科、非公有制经济工作科、无党派人士和党外知识分子工作科（新的社会阶层统战工作科）、侨务综合科（港澳科）、侨务事务科、对台工作办公室、机关党总支。</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从决算单位构成看，市委统战部部门决算包括部机关本级决算和部属单位决算。</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1、中共三门峡市委统战部（台办、侨办）本级</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2、民盟三门峡市委会机关</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3、九三学社三门峡市委会机关</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4、农工党三门峡市委会机关</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5、民建三门峡市委会机关</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6、民进三门峡市总支部</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7、三门峡市归国华侨联合会</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8、三门峡市海外联谊会秘书处</w:t>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hint="eastAsia" w:ascii="微软雅黑" w:hAnsi="微软雅黑" w:eastAsia="微软雅黑"/>
          <w:color w:val="333333"/>
        </w:rPr>
        <w:t> </w:t>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hint="eastAsia" w:ascii="黑体" w:hAnsi="黑体" w:eastAsia="黑体"/>
          <w:color w:val="333333"/>
          <w:sz w:val="48"/>
          <w:szCs w:val="48"/>
        </w:rPr>
        <w:t>第二部分</w:t>
      </w:r>
      <w:r>
        <w:rPr>
          <w:rFonts w:hint="eastAsia"/>
          <w:color w:val="333333"/>
          <w:sz w:val="48"/>
          <w:szCs w:val="48"/>
        </w:rPr>
        <w:t> </w:t>
      </w:r>
      <w:r>
        <w:rPr>
          <w:rFonts w:hint="eastAsia" w:ascii="黑体" w:hAnsi="黑体" w:eastAsia="黑体"/>
          <w:color w:val="333333"/>
          <w:sz w:val="48"/>
          <w:szCs w:val="48"/>
        </w:rPr>
        <w:t>2021年度部门决算表</w:t>
      </w:r>
    </w:p>
    <w:p>
      <w:pPr>
        <w:pStyle w:val="2"/>
        <w:shd w:val="clear" w:color="auto" w:fill="FFFFFF"/>
        <w:spacing w:before="75" w:beforeAutospacing="0" w:after="75" w:afterAutospacing="0" w:line="600" w:lineRule="atLeast"/>
        <w:ind w:firstLine="315"/>
        <w:rPr>
          <w:rFonts w:hint="eastAsia" w:ascii="微软雅黑" w:hAnsi="微软雅黑" w:eastAsia="微软雅黑"/>
          <w:color w:val="333333"/>
        </w:rPr>
      </w:pP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315"/>
        <w:rPr>
          <w:rFonts w:hint="eastAsia" w:ascii="微软雅黑" w:hAnsi="微软雅黑" w:eastAsia="微软雅黑"/>
          <w:color w:val="333333"/>
        </w:rPr>
      </w:pPr>
      <w:r>
        <w:rPr>
          <w:rFonts w:hint="eastAsia" w:ascii="仿宋" w:hAnsi="仿宋" w:eastAsia="仿宋"/>
          <w:color w:val="333333"/>
          <w:sz w:val="32"/>
          <w:szCs w:val="32"/>
        </w:rPr>
        <w:t>附件：</w:t>
      </w:r>
    </w:p>
    <w:p>
      <w:pPr>
        <w:pStyle w:val="2"/>
        <w:shd w:val="clear" w:color="auto" w:fill="FFFFFF"/>
        <w:spacing w:before="75" w:beforeAutospacing="0" w:after="75" w:afterAutospacing="0" w:line="600" w:lineRule="atLeast"/>
        <w:ind w:firstLine="315"/>
        <w:rPr>
          <w:rFonts w:hint="eastAsia" w:ascii="微软雅黑" w:hAnsi="微软雅黑" w:eastAsia="微软雅黑"/>
          <w:color w:val="333333"/>
        </w:rPr>
      </w:pPr>
      <w:r>
        <w:rPr>
          <w:rFonts w:ascii="Calibri" w:hAnsi="Calibri" w:eastAsia="仿宋" w:cs="Calibri"/>
          <w:color w:val="333333"/>
          <w:sz w:val="32"/>
          <w:szCs w:val="32"/>
        </w:rPr>
        <w:t> </w:t>
      </w:r>
      <w:r>
        <w:rPr>
          <w:rFonts w:hint="eastAsia" w:ascii="仿宋" w:hAnsi="仿宋" w:eastAsia="仿宋"/>
          <w:color w:val="333333"/>
          <w:sz w:val="32"/>
          <w:szCs w:val="32"/>
        </w:rPr>
        <w:t xml:space="preserve"> 中共三门峡市委统一战线工作部2021年度部门决算公开表</w:t>
      </w:r>
    </w:p>
    <w:p>
      <w:pPr>
        <w:pStyle w:val="2"/>
        <w:shd w:val="clear" w:color="auto" w:fill="FFFFFF"/>
        <w:spacing w:before="75" w:beforeAutospacing="0" w:after="75" w:afterAutospacing="0" w:line="240" w:lineRule="atLeast"/>
        <w:rPr>
          <w:rFonts w:hint="eastAsia" w:ascii="微软雅黑" w:hAnsi="微软雅黑" w:eastAsia="微软雅黑"/>
          <w:color w:val="333333"/>
        </w:rPr>
      </w:pPr>
      <w:r>
        <w:rPr>
          <w:rFonts w:hint="eastAsia" w:ascii="微软雅黑" w:hAnsi="微软雅黑" w:eastAsia="微软雅黑"/>
          <w:color w:val="333333"/>
        </w:rPr>
        <w:t>      </w:t>
      </w:r>
      <w:r>
        <w:rPr>
          <w:rFonts w:hint="eastAsia" w:ascii="仿宋" w:hAnsi="仿宋" w:eastAsia="仿宋"/>
          <w:color w:val="333333"/>
          <w:sz w:val="32"/>
          <w:szCs w:val="32"/>
        </w:rPr>
        <w:t>一、收入支出决算总表</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二、收入决算表</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三、支出决算表</w:t>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四、财政拨款收入支出决算总表</w:t>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五、一般公共预算财政拨款支出决算表</w:t>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六、一般公共预算财政拨款基本支出决算表</w:t>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七、一般公共预算财政拨款“三公”经费支出决算表</w:t>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八、政府性基金预算财政拨款收入支出决算表</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微软雅黑" w:hAnsi="微软雅黑" w:eastAsia="微软雅黑"/>
          <w:color w:val="333333"/>
        </w:rPr>
        <w:t> </w:t>
      </w:r>
      <w:r>
        <w:fldChar w:fldCharType="begin"/>
      </w:r>
      <w:r>
        <w:instrText xml:space="preserve"> HYPERLINK "http://smx.rootinhenan.gov.cn/sitesources/smx/upload/202302/20230227104711914.xls" \o "中共三门峡市委统一战线工作部2021年度部门决算公开表.xls" </w:instrText>
      </w:r>
      <w:r>
        <w:fldChar w:fldCharType="separate"/>
      </w:r>
      <w:r>
        <w:rPr>
          <w:rStyle w:val="6"/>
          <w:rFonts w:hint="eastAsia" w:ascii="微软雅黑" w:hAnsi="微软雅黑" w:eastAsia="微软雅黑"/>
          <w:color w:val="0066CC"/>
          <w:sz w:val="18"/>
          <w:szCs w:val="18"/>
        </w:rPr>
        <w:t>中共三门峡市委统一战线工作部2021年度部门决算公开表.xls</w:t>
      </w:r>
      <w:r>
        <w:rPr>
          <w:rStyle w:val="6"/>
          <w:rFonts w:hint="eastAsia" w:ascii="微软雅黑" w:hAnsi="微软雅黑" w:eastAsia="微软雅黑"/>
          <w:color w:val="0066CC"/>
          <w:sz w:val="18"/>
          <w:szCs w:val="18"/>
        </w:rPr>
        <w:fldChar w:fldCharType="end"/>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ascii="Calibri" w:hAnsi="Calibri" w:eastAsia="黑体" w:cs="Calibri"/>
          <w:color w:val="333333"/>
          <w:sz w:val="48"/>
          <w:szCs w:val="48"/>
        </w:rPr>
        <w:t> </w:t>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hint="eastAsia"/>
          <w:color w:val="333333"/>
          <w:sz w:val="48"/>
          <w:szCs w:val="48"/>
        </w:rPr>
        <w:t> </w:t>
      </w:r>
    </w:p>
    <w:p>
      <w:pPr>
        <w:pStyle w:val="2"/>
        <w:shd w:val="clear" w:color="auto" w:fill="FFFFFF"/>
        <w:spacing w:before="75" w:beforeAutospacing="0" w:after="75" w:afterAutospacing="0" w:line="600" w:lineRule="atLeast"/>
        <w:jc w:val="center"/>
        <w:rPr>
          <w:rFonts w:hint="eastAsia" w:ascii="微软雅黑" w:hAnsi="微软雅黑" w:eastAsia="微软雅黑"/>
          <w:color w:val="333333"/>
        </w:rPr>
      </w:pPr>
      <w:r>
        <w:rPr>
          <w:rFonts w:hint="eastAsia" w:ascii="黑体" w:hAnsi="黑体" w:eastAsia="黑体"/>
          <w:color w:val="333333"/>
          <w:sz w:val="48"/>
          <w:szCs w:val="48"/>
        </w:rPr>
        <w:t>第三部分</w:t>
      </w:r>
      <w:r>
        <w:rPr>
          <w:rFonts w:ascii="Times New Roman" w:hAnsi="Times New Roman" w:eastAsia="微软雅黑" w:cs="Times New Roman"/>
          <w:color w:val="333333"/>
          <w:sz w:val="48"/>
          <w:szCs w:val="48"/>
        </w:rPr>
        <w:t> </w:t>
      </w:r>
      <w:r>
        <w:rPr>
          <w:rFonts w:hint="eastAsia" w:ascii="黑体" w:hAnsi="黑体" w:eastAsia="黑体"/>
          <w:color w:val="333333"/>
          <w:sz w:val="48"/>
          <w:szCs w:val="48"/>
        </w:rPr>
        <w:t>2021年度部门决算情况说明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一、</w:t>
      </w:r>
      <w:r>
        <w:rPr>
          <w:rFonts w:hint="eastAsia"/>
          <w:color w:val="333333"/>
          <w:sz w:val="32"/>
          <w:szCs w:val="32"/>
        </w:rPr>
        <w:t> </w:t>
      </w:r>
      <w:r>
        <w:rPr>
          <w:rFonts w:hint="eastAsia" w:ascii="黑体" w:hAnsi="黑体" w:eastAsia="黑体"/>
          <w:color w:val="333333"/>
          <w:sz w:val="32"/>
          <w:szCs w:val="32"/>
        </w:rPr>
        <w:t>关于收入支出决算总体情况说明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中共三门峡市委统战部2021年度收、支总计均为1035.36万元。与2020年相比，收、支总计减少148.4万元，下降13%。主要原因是2020年度支出中含有2019年底银行系统退回部分。</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二、关于收入决算情况说明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中共三门峡市委统战部2021年度收入合计1035.36万元，其中：财政拨款收入1035.36万元，占100%；上级补助收入0元，占0%；事业收入0元，占0%；经营收入0元，占0%；附属单位上缴收入0元，占0%；其他收入0万元，占0%。</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三、关于支出决算情况说明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中共三门峡市委统战部2021年度支出合计</w:t>
      </w:r>
      <w:r>
        <w:rPr>
          <w:rFonts w:hint="eastAsia" w:ascii="仿宋_GB2312" w:hAnsi="微软雅黑" w:eastAsia="仿宋_GB2312"/>
          <w:color w:val="333333"/>
          <w:sz w:val="32"/>
          <w:szCs w:val="32"/>
        </w:rPr>
        <w:t>1035.36</w:t>
      </w:r>
      <w:r>
        <w:rPr>
          <w:rFonts w:hint="eastAsia" w:ascii="仿宋" w:hAnsi="仿宋" w:eastAsia="仿宋"/>
          <w:color w:val="333333"/>
          <w:sz w:val="32"/>
          <w:szCs w:val="32"/>
        </w:rPr>
        <w:t>万元，其中：基本支出</w:t>
      </w:r>
      <w:r>
        <w:rPr>
          <w:rFonts w:hint="eastAsia" w:ascii="仿宋_GB2312" w:hAnsi="微软雅黑" w:eastAsia="仿宋_GB2312"/>
          <w:color w:val="333333"/>
          <w:sz w:val="32"/>
          <w:szCs w:val="32"/>
        </w:rPr>
        <w:t>869.38</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84</w:t>
      </w:r>
      <w:r>
        <w:rPr>
          <w:rFonts w:hint="eastAsia" w:ascii="仿宋" w:hAnsi="仿宋" w:eastAsia="仿宋"/>
          <w:color w:val="333333"/>
          <w:sz w:val="32"/>
          <w:szCs w:val="32"/>
        </w:rPr>
        <w:t>%；项目支出</w:t>
      </w:r>
      <w:r>
        <w:rPr>
          <w:rFonts w:hint="eastAsia" w:ascii="仿宋_GB2312" w:hAnsi="微软雅黑" w:eastAsia="仿宋_GB2312"/>
          <w:color w:val="333333"/>
          <w:sz w:val="32"/>
          <w:szCs w:val="32"/>
        </w:rPr>
        <w:t>165.98</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16</w:t>
      </w:r>
      <w:r>
        <w:rPr>
          <w:rFonts w:hint="eastAsia" w:ascii="仿宋" w:hAnsi="仿宋" w:eastAsia="仿宋"/>
          <w:color w:val="333333"/>
          <w:sz w:val="32"/>
          <w:szCs w:val="32"/>
        </w:rPr>
        <w:t>%；上缴上级支出0元，占0%；经营支出0元，占0%；对附属单位支出0元，占0%。</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四、关于财政拨款收入支出决算总体情况说明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中共三门峡市委统战部2021年财政拨款收、支总计均为</w:t>
      </w:r>
      <w:r>
        <w:rPr>
          <w:rFonts w:hint="eastAsia" w:ascii="仿宋_GB2312" w:hAnsi="微软雅黑" w:eastAsia="仿宋_GB2312"/>
          <w:color w:val="333333"/>
          <w:sz w:val="32"/>
          <w:szCs w:val="32"/>
        </w:rPr>
        <w:t>1035.36</w:t>
      </w:r>
      <w:r>
        <w:rPr>
          <w:rFonts w:hint="eastAsia" w:ascii="仿宋" w:hAnsi="仿宋" w:eastAsia="仿宋"/>
          <w:color w:val="333333"/>
          <w:sz w:val="32"/>
          <w:szCs w:val="32"/>
        </w:rPr>
        <w:t>万元。与2020年相比，财政拨款收、支总计减少</w:t>
      </w:r>
      <w:r>
        <w:rPr>
          <w:rFonts w:hint="eastAsia" w:ascii="仿宋_GB2312" w:hAnsi="微软雅黑" w:eastAsia="仿宋_GB2312"/>
          <w:color w:val="333333"/>
          <w:sz w:val="32"/>
          <w:szCs w:val="32"/>
        </w:rPr>
        <w:t>134.32</w:t>
      </w:r>
      <w:r>
        <w:rPr>
          <w:rFonts w:hint="eastAsia" w:ascii="仿宋" w:hAnsi="仿宋" w:eastAsia="仿宋"/>
          <w:color w:val="333333"/>
          <w:sz w:val="32"/>
          <w:szCs w:val="32"/>
        </w:rPr>
        <w:t>万元，下降11%。主要原因是2020年度支出中含有2019年底银行系统退回部分。</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五、关于一般公共预算财政拨款支出决算情况说明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（一）总体情况。</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中共三门峡市委统战部2021年一般公共预算财政拨款支出</w:t>
      </w:r>
      <w:r>
        <w:rPr>
          <w:rFonts w:hint="eastAsia" w:ascii="仿宋_GB2312" w:hAnsi="微软雅黑" w:eastAsia="仿宋_GB2312"/>
          <w:color w:val="333333"/>
          <w:sz w:val="32"/>
          <w:szCs w:val="32"/>
        </w:rPr>
        <w:t>1035.36</w:t>
      </w:r>
      <w:r>
        <w:rPr>
          <w:rFonts w:hint="eastAsia" w:ascii="仿宋" w:hAnsi="仿宋" w:eastAsia="仿宋"/>
          <w:color w:val="333333"/>
          <w:sz w:val="32"/>
          <w:szCs w:val="32"/>
        </w:rPr>
        <w:t>万元，占支出合计的</w:t>
      </w:r>
      <w:r>
        <w:rPr>
          <w:rFonts w:hint="eastAsia" w:ascii="仿宋_GB2312" w:hAnsi="微软雅黑" w:eastAsia="仿宋_GB2312"/>
          <w:color w:val="333333"/>
          <w:sz w:val="32"/>
          <w:szCs w:val="32"/>
        </w:rPr>
        <w:t>100</w:t>
      </w:r>
      <w:r>
        <w:rPr>
          <w:rFonts w:hint="eastAsia" w:ascii="仿宋" w:hAnsi="仿宋" w:eastAsia="仿宋"/>
          <w:color w:val="333333"/>
          <w:sz w:val="32"/>
          <w:szCs w:val="32"/>
        </w:rPr>
        <w:t>%。与2020年相比，一般公共预算财政拨款支出减少1</w:t>
      </w:r>
      <w:r>
        <w:rPr>
          <w:rFonts w:hint="eastAsia" w:ascii="仿宋_GB2312" w:hAnsi="微软雅黑" w:eastAsia="仿宋_GB2312"/>
          <w:color w:val="333333"/>
          <w:sz w:val="32"/>
          <w:szCs w:val="32"/>
        </w:rPr>
        <w:t>32.43</w:t>
      </w:r>
      <w:r>
        <w:rPr>
          <w:rFonts w:hint="eastAsia" w:ascii="仿宋" w:hAnsi="仿宋" w:eastAsia="仿宋"/>
          <w:color w:val="333333"/>
          <w:sz w:val="32"/>
          <w:szCs w:val="32"/>
        </w:rPr>
        <w:t>万元，下降</w:t>
      </w:r>
      <w:r>
        <w:rPr>
          <w:rFonts w:hint="eastAsia" w:ascii="仿宋_GB2312" w:hAnsi="微软雅黑" w:eastAsia="仿宋_GB2312"/>
          <w:color w:val="333333"/>
          <w:sz w:val="32"/>
          <w:szCs w:val="32"/>
        </w:rPr>
        <w:t>11</w:t>
      </w:r>
      <w:r>
        <w:rPr>
          <w:rFonts w:hint="eastAsia" w:ascii="仿宋" w:hAnsi="仿宋" w:eastAsia="仿宋"/>
          <w:color w:val="333333"/>
          <w:sz w:val="32"/>
          <w:szCs w:val="32"/>
        </w:rPr>
        <w:t>%。主要因2020年度支出中含有2019年底银行系统退回部分。</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（二）结构情况。</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中共三门峡市委统战部2021年度一般公共预算财政拨款支出</w:t>
      </w:r>
      <w:r>
        <w:rPr>
          <w:rFonts w:hint="eastAsia" w:ascii="仿宋_GB2312" w:hAnsi="微软雅黑" w:eastAsia="仿宋_GB2312"/>
          <w:color w:val="333333"/>
          <w:sz w:val="32"/>
          <w:szCs w:val="32"/>
        </w:rPr>
        <w:t>1035.36</w:t>
      </w:r>
      <w:r>
        <w:rPr>
          <w:rFonts w:hint="eastAsia" w:ascii="仿宋" w:hAnsi="仿宋" w:eastAsia="仿宋"/>
          <w:color w:val="333333"/>
          <w:sz w:val="32"/>
          <w:szCs w:val="32"/>
        </w:rPr>
        <w:t>万元，主要用于以下方面：一般公共服务（类）支出</w:t>
      </w:r>
      <w:r>
        <w:rPr>
          <w:rFonts w:hint="eastAsia" w:ascii="仿宋_GB2312" w:hAnsi="微软雅黑" w:eastAsia="仿宋_GB2312"/>
          <w:color w:val="333333"/>
          <w:sz w:val="32"/>
          <w:szCs w:val="32"/>
        </w:rPr>
        <w:t>860.11</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83.07</w:t>
      </w:r>
      <w:r>
        <w:rPr>
          <w:rFonts w:hint="eastAsia" w:ascii="仿宋" w:hAnsi="仿宋" w:eastAsia="仿宋"/>
          <w:color w:val="333333"/>
          <w:sz w:val="32"/>
          <w:szCs w:val="32"/>
        </w:rPr>
        <w:t>%；外交（类）支出0元，占0%；国防（类）支出0元，占0%；公共安全（类）支出0元，占0%；教育（类）支出</w:t>
      </w:r>
      <w:r>
        <w:rPr>
          <w:rFonts w:hint="eastAsia" w:ascii="仿宋_GB2312" w:hAnsi="微软雅黑" w:eastAsia="仿宋_GB2312"/>
          <w:color w:val="333333"/>
          <w:sz w:val="32"/>
          <w:szCs w:val="32"/>
        </w:rPr>
        <w:t>11.52</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1.11</w:t>
      </w:r>
      <w:r>
        <w:rPr>
          <w:rFonts w:hint="eastAsia" w:ascii="仿宋" w:hAnsi="仿宋" w:eastAsia="仿宋"/>
          <w:color w:val="333333"/>
          <w:sz w:val="32"/>
          <w:szCs w:val="32"/>
        </w:rPr>
        <w:t>%；科学技术（类）支出0元，占0%；文化体育与传媒（类）支出0元，占0%；社会保障和就业（类）支出</w:t>
      </w:r>
      <w:r>
        <w:rPr>
          <w:rFonts w:hint="eastAsia" w:ascii="仿宋_GB2312" w:hAnsi="微软雅黑" w:eastAsia="仿宋_GB2312"/>
          <w:color w:val="333333"/>
          <w:sz w:val="32"/>
          <w:szCs w:val="32"/>
        </w:rPr>
        <w:t>78.92</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7.62</w:t>
      </w:r>
      <w:r>
        <w:rPr>
          <w:rFonts w:hint="eastAsia" w:ascii="仿宋" w:hAnsi="仿宋" w:eastAsia="仿宋"/>
          <w:color w:val="333333"/>
          <w:sz w:val="32"/>
          <w:szCs w:val="32"/>
        </w:rPr>
        <w:t>%；卫生健康（类）支出</w:t>
      </w:r>
      <w:r>
        <w:rPr>
          <w:rFonts w:hint="eastAsia" w:ascii="仿宋_GB2312" w:hAnsi="微软雅黑" w:eastAsia="仿宋_GB2312"/>
          <w:color w:val="333333"/>
          <w:sz w:val="32"/>
          <w:szCs w:val="32"/>
        </w:rPr>
        <w:t>39.21</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3.79</w:t>
      </w:r>
      <w:r>
        <w:rPr>
          <w:rFonts w:hint="eastAsia" w:ascii="仿宋" w:hAnsi="仿宋" w:eastAsia="仿宋"/>
          <w:color w:val="333333"/>
          <w:sz w:val="32"/>
          <w:szCs w:val="32"/>
        </w:rPr>
        <w:t>%；节能环保（类）支出0元，占0%；城乡社区（类）支出0元，占0%；农林水（类）支出</w:t>
      </w:r>
      <w:r>
        <w:rPr>
          <w:rFonts w:hint="eastAsia" w:ascii="仿宋_GB2312" w:hAnsi="微软雅黑" w:eastAsia="仿宋_GB2312"/>
          <w:color w:val="333333"/>
          <w:sz w:val="32"/>
          <w:szCs w:val="32"/>
        </w:rPr>
        <w:t>7.13</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0.69</w:t>
      </w:r>
      <w:r>
        <w:rPr>
          <w:rFonts w:hint="eastAsia" w:ascii="仿宋" w:hAnsi="仿宋" w:eastAsia="仿宋"/>
          <w:color w:val="333333"/>
          <w:sz w:val="32"/>
          <w:szCs w:val="32"/>
        </w:rPr>
        <w:t>%；交通运输（类）支出0元，占0%；资源勘探信息（类）支出0元，占0%；商业服务业（类）支出0元，占0%；金融（类）支出0元，占0%；援助其他地区（类）支出0元，占0%；国土海洋气象（类）支出0元，占0%；住房保障（类）支出</w:t>
      </w:r>
      <w:r>
        <w:rPr>
          <w:rFonts w:hint="eastAsia" w:ascii="仿宋_GB2312" w:hAnsi="微软雅黑" w:eastAsia="仿宋_GB2312"/>
          <w:color w:val="333333"/>
          <w:sz w:val="32"/>
          <w:szCs w:val="32"/>
        </w:rPr>
        <w:t>37.99</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3.67</w:t>
      </w:r>
      <w:r>
        <w:rPr>
          <w:rFonts w:hint="eastAsia" w:ascii="仿宋" w:hAnsi="仿宋" w:eastAsia="仿宋"/>
          <w:color w:val="333333"/>
          <w:sz w:val="32"/>
          <w:szCs w:val="32"/>
        </w:rPr>
        <w:t>%；粮油物资储备（类）支出0元，占0%；其他（类）支出0.48万元，占0.05%；债务还本（类）支出0元，占0%；债务付息（类）支出0元，占0%。</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（三）具体情况。</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中共三门峡市委统战部2021年度一般公共预算财政拨款支出年初预算为929.4万元，支出决算为1035.36万元，完成年初预算的111%。决算数与年初预算数存在差异的主要原因：主要原因是人员调整和增资调标。其中：</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1．一般公共服务（类）纪检监察事务（款）派驻派出机构（项）。年初预算为21.4万元，支出决算为5.22万元，完成年初预算的24%。决算数与年初预算数存在差异的主要原因是疫情期间，部分工作不能正常开展。</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 xml:space="preserve">2．一般公共服务（类）民主党派及工商联事务（款） </w:t>
      </w:r>
      <w:r>
        <w:rPr>
          <w:rFonts w:ascii="Calibri" w:hAnsi="Calibri" w:eastAsia="仿宋" w:cs="Calibri"/>
          <w:color w:val="333333"/>
          <w:sz w:val="32"/>
          <w:szCs w:val="32"/>
        </w:rPr>
        <w:t> </w:t>
      </w:r>
      <w:r>
        <w:rPr>
          <w:rFonts w:hint="eastAsia" w:ascii="仿宋" w:hAnsi="仿宋" w:eastAsia="仿宋"/>
          <w:color w:val="333333"/>
          <w:sz w:val="32"/>
          <w:szCs w:val="32"/>
        </w:rPr>
        <w:t>一般行政管理事务（项）。年初预算为50万元，支出决算为53.5万元，完成年初预算的107%。决算数与年初预算数存在差异的主要原因部分民主党派开展新业务，支出增加。</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3．一般公共服务（类）群众团体事务（款）</w:t>
      </w:r>
      <w:r>
        <w:rPr>
          <w:rFonts w:ascii="Calibri" w:hAnsi="Calibri" w:eastAsia="仿宋" w:cs="Calibri"/>
          <w:color w:val="333333"/>
          <w:sz w:val="32"/>
          <w:szCs w:val="32"/>
        </w:rPr>
        <w:t> </w:t>
      </w:r>
      <w:r>
        <w:rPr>
          <w:rFonts w:hint="eastAsia" w:ascii="仿宋" w:hAnsi="仿宋" w:eastAsia="仿宋"/>
          <w:color w:val="333333"/>
          <w:sz w:val="32"/>
          <w:szCs w:val="32"/>
        </w:rPr>
        <w:t>其他群众团体事务支出（项）。年初预算为0万元，支出决算为3.19万元。决算数与年初预算数存在差异的主要原因是实际工作需要追加经费。</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4．一般公共服务（类）统战事务（款）行政运行（项）。年初预算为622.17万元，支出决算为798.2万元，完成年初预算的128%。决算数与年初预算数存在差异的主要原因是人员调整增资调标和实际工作需要追加经费。</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5．一般公共服务（类）统战事务（款）一般行政管理事务（项）。年初预算为101万元，支出决算为74.56万元，完成年初预算的74%。决算数与年初预算数存在差异的主要原因是2020年度支出中含有2019年底银行系统退回部分。</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6．教育支出（类）进修及培训（款）</w:t>
      </w:r>
      <w:r>
        <w:rPr>
          <w:rFonts w:ascii="Calibri" w:hAnsi="Calibri" w:eastAsia="仿宋" w:cs="Calibri"/>
          <w:color w:val="333333"/>
          <w:sz w:val="32"/>
          <w:szCs w:val="32"/>
        </w:rPr>
        <w:t>  </w:t>
      </w:r>
      <w:r>
        <w:rPr>
          <w:rFonts w:hint="eastAsia" w:ascii="仿宋" w:hAnsi="仿宋" w:eastAsia="仿宋"/>
          <w:color w:val="333333"/>
          <w:sz w:val="32"/>
          <w:szCs w:val="32"/>
        </w:rPr>
        <w:t>培训支出（项）。年初预算为12万元，支出决算为11.52万元，完成年初预算的96%。决算数与年初预算数存在差异的主要原因是疫情期间，部分部分参训人员请假。</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7．社会保障和就业支出（类）行政事业单位养老支出（款）行政单位离退休（项）。年初预算为0元，支出决算为12.87万元。决算数与年初预算数存在差异的主要原因是人员调整和增资调标。</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8．社会保障和就业支出（类）行政事业单位养老支出（款）机关事业单位基本养老保险缴费支出（项）。年初预算为48.85万元，支出决算为50.65万元，完成年初预算的104%。决算数与年初预算数存在差异的主要原因是人员调整和增资调标。</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9．社会保障和就业支出（类）抚恤（款）死亡抚恤（项）。年初预算为0万元，支出决算为15.4万元。决算数与年初预算数存在差异的主要原因是根据实际情况追加。</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10．卫生健康支出（类）行政事业单位医疗（款）</w:t>
      </w:r>
      <w:r>
        <w:rPr>
          <w:rFonts w:ascii="Calibri" w:hAnsi="Calibri" w:eastAsia="仿宋" w:cs="Calibri"/>
          <w:color w:val="333333"/>
          <w:sz w:val="32"/>
          <w:szCs w:val="32"/>
        </w:rPr>
        <w:t>  </w:t>
      </w:r>
      <w:r>
        <w:rPr>
          <w:rFonts w:hint="eastAsia" w:ascii="仿宋" w:hAnsi="仿宋" w:eastAsia="仿宋"/>
          <w:color w:val="333333"/>
          <w:sz w:val="32"/>
          <w:szCs w:val="32"/>
        </w:rPr>
        <w:t>行政单位医疗（项）。年初预算为37.4万元，支出决算为39.21万元，完成年初预算的105%。决算数与年初预算数存在差异的主要原因是人员调整和增资调标。</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11.农林水支出（类）扶贫（款）其他扶贫支出（项）。年初预算为0万元，支出决算为7.13万元。决算数与年初预算数存在差异的主要原因是开展业务工作需要，年末追加预算用于扶贫第一书记及驻村工作队员的补贴及工作经费。</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12.住房保障支出（类）住房改革支出（款）住房公积金（项）。年初预算为36.64万元，支出决算为37.99万元，完成年初预算的104%。决算数与年初预算数存在差异的主要原因是人员调整和增资调标。</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13.其他支出（类）其他支出（款）其他（项）。年初预算为0元，支出决算为0.48万元。决算数与年初预算数存在差异的主要原因实际工作需要追加经费。</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六、关于一般公共预算财政拨款基本支出决算情况说明</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一般公共预算财政拨款基本支出869.38万元。与2020年度相比，增加34.41万元，增长4%，主要原因是人员调整和增资调标。其中：人员经费796.87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72.51万元，主要包括：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七、关于一般公共预算财政拨款“三公”经费支出决算情况说明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（一）“三公”经费财政拨款支出决算总体情况说明。</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中共三门峡市委统战部2021年度“三公”经费财政拨款支出预算为</w:t>
      </w:r>
      <w:r>
        <w:rPr>
          <w:rFonts w:hint="eastAsia" w:ascii="仿宋_GB2312" w:hAnsi="微软雅黑" w:eastAsia="仿宋_GB2312"/>
          <w:color w:val="333333"/>
          <w:sz w:val="32"/>
          <w:szCs w:val="32"/>
        </w:rPr>
        <w:t>21.7</w:t>
      </w:r>
      <w:r>
        <w:rPr>
          <w:rFonts w:hint="eastAsia" w:ascii="仿宋" w:hAnsi="仿宋" w:eastAsia="仿宋"/>
          <w:color w:val="333333"/>
          <w:sz w:val="32"/>
          <w:szCs w:val="32"/>
        </w:rPr>
        <w:t>万元，支出决算为</w:t>
      </w:r>
      <w:r>
        <w:rPr>
          <w:rFonts w:hint="eastAsia" w:ascii="仿宋_GB2312" w:hAnsi="微软雅黑" w:eastAsia="仿宋_GB2312"/>
          <w:color w:val="333333"/>
          <w:sz w:val="32"/>
          <w:szCs w:val="32"/>
        </w:rPr>
        <w:t>11.42</w:t>
      </w:r>
      <w:r>
        <w:rPr>
          <w:rFonts w:hint="eastAsia" w:ascii="仿宋" w:hAnsi="仿宋" w:eastAsia="仿宋"/>
          <w:color w:val="333333"/>
          <w:sz w:val="32"/>
          <w:szCs w:val="32"/>
        </w:rPr>
        <w:t>元，完成预算的</w:t>
      </w:r>
      <w:r>
        <w:rPr>
          <w:rFonts w:hint="eastAsia" w:ascii="仿宋_GB2312" w:hAnsi="微软雅黑" w:eastAsia="仿宋_GB2312"/>
          <w:color w:val="333333"/>
          <w:sz w:val="32"/>
          <w:szCs w:val="32"/>
        </w:rPr>
        <w:t>53</w:t>
      </w:r>
      <w:r>
        <w:rPr>
          <w:rFonts w:hint="eastAsia" w:ascii="仿宋" w:hAnsi="仿宋" w:eastAsia="仿宋"/>
          <w:color w:val="333333"/>
          <w:sz w:val="32"/>
          <w:szCs w:val="32"/>
        </w:rPr>
        <w:t>%。2021年度“三公”经费支出决算数与预算数存在差异的主要原因是疫情期间，大部分工作不能正常开展。</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（二）“三公”经费财政拨款支出决算具体情况说明。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中共三门峡市委统战部2021年度“三公”经费财政拨款支出决算中，因公出国（境）费支出决算</w:t>
      </w:r>
      <w:r>
        <w:rPr>
          <w:rFonts w:hint="eastAsia" w:ascii="仿宋_GB2312" w:hAnsi="微软雅黑" w:eastAsia="仿宋_GB2312"/>
          <w:color w:val="333333"/>
          <w:sz w:val="32"/>
          <w:szCs w:val="32"/>
        </w:rPr>
        <w:t>0</w:t>
      </w:r>
      <w:r>
        <w:rPr>
          <w:rFonts w:hint="eastAsia" w:ascii="仿宋" w:hAnsi="仿宋" w:eastAsia="仿宋"/>
          <w:color w:val="333333"/>
          <w:sz w:val="32"/>
          <w:szCs w:val="32"/>
        </w:rPr>
        <w:t>元；公务用车购置及运行费支出决算</w:t>
      </w:r>
      <w:r>
        <w:rPr>
          <w:rFonts w:hint="eastAsia" w:ascii="仿宋_GB2312" w:hAnsi="微软雅黑" w:eastAsia="仿宋_GB2312"/>
          <w:color w:val="333333"/>
          <w:sz w:val="32"/>
          <w:szCs w:val="32"/>
        </w:rPr>
        <w:t>7.52</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66</w:t>
      </w:r>
      <w:r>
        <w:rPr>
          <w:rFonts w:hint="eastAsia" w:ascii="仿宋" w:hAnsi="仿宋" w:eastAsia="仿宋"/>
          <w:color w:val="333333"/>
          <w:sz w:val="32"/>
          <w:szCs w:val="32"/>
        </w:rPr>
        <w:t>%，完成预算的</w:t>
      </w:r>
      <w:r>
        <w:rPr>
          <w:rFonts w:hint="eastAsia" w:ascii="仿宋_GB2312" w:hAnsi="微软雅黑" w:eastAsia="仿宋_GB2312"/>
          <w:color w:val="333333"/>
          <w:sz w:val="32"/>
          <w:szCs w:val="32"/>
        </w:rPr>
        <w:t>94</w:t>
      </w:r>
      <w:r>
        <w:rPr>
          <w:rFonts w:hint="eastAsia" w:ascii="仿宋" w:hAnsi="仿宋" w:eastAsia="仿宋"/>
          <w:color w:val="333333"/>
          <w:sz w:val="32"/>
          <w:szCs w:val="32"/>
        </w:rPr>
        <w:t>%；公务接待费支出决算</w:t>
      </w:r>
      <w:r>
        <w:rPr>
          <w:rFonts w:hint="eastAsia" w:ascii="仿宋_GB2312" w:hAnsi="微软雅黑" w:eastAsia="仿宋_GB2312"/>
          <w:color w:val="333333"/>
          <w:sz w:val="32"/>
          <w:szCs w:val="32"/>
        </w:rPr>
        <w:t>3.9</w:t>
      </w:r>
      <w:r>
        <w:rPr>
          <w:rFonts w:hint="eastAsia" w:ascii="仿宋" w:hAnsi="仿宋" w:eastAsia="仿宋"/>
          <w:color w:val="333333"/>
          <w:sz w:val="32"/>
          <w:szCs w:val="32"/>
        </w:rPr>
        <w:t>万元，占</w:t>
      </w:r>
      <w:r>
        <w:rPr>
          <w:rFonts w:hint="eastAsia" w:ascii="仿宋_GB2312" w:hAnsi="微软雅黑" w:eastAsia="仿宋_GB2312"/>
          <w:color w:val="333333"/>
          <w:sz w:val="32"/>
          <w:szCs w:val="32"/>
        </w:rPr>
        <w:t>34</w:t>
      </w:r>
      <w:r>
        <w:rPr>
          <w:rFonts w:hint="eastAsia" w:ascii="仿宋" w:hAnsi="仿宋" w:eastAsia="仿宋"/>
          <w:color w:val="333333"/>
          <w:sz w:val="32"/>
          <w:szCs w:val="32"/>
        </w:rPr>
        <w:t>%，完成预算的</w:t>
      </w:r>
      <w:r>
        <w:rPr>
          <w:rFonts w:hint="eastAsia" w:ascii="仿宋_GB2312" w:hAnsi="微软雅黑" w:eastAsia="仿宋_GB2312"/>
          <w:color w:val="333333"/>
          <w:sz w:val="32"/>
          <w:szCs w:val="32"/>
        </w:rPr>
        <w:t>58</w:t>
      </w:r>
      <w:r>
        <w:rPr>
          <w:rFonts w:hint="eastAsia" w:ascii="仿宋" w:hAnsi="仿宋" w:eastAsia="仿宋"/>
          <w:color w:val="333333"/>
          <w:sz w:val="32"/>
          <w:szCs w:val="32"/>
        </w:rPr>
        <w:t>%。具体情况如下：</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1．因公出国（境）费</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因公出国（境）费支出年初预算为8万元，支出决算为0元，完成年初预算的0%。决算数与年初预算数存在差异的主要原因是新冠肺炎疫情，因公出国（境）业务无法正常开展。</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2．公务用车购置及运行费</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公务用车购置及运行费年初预算为</w:t>
      </w:r>
      <w:r>
        <w:rPr>
          <w:rFonts w:ascii="Calibri" w:hAnsi="Calibri" w:eastAsia="仿宋" w:cs="Calibri"/>
          <w:color w:val="333333"/>
          <w:sz w:val="32"/>
          <w:szCs w:val="32"/>
        </w:rPr>
        <w:t> </w:t>
      </w:r>
      <w:r>
        <w:rPr>
          <w:rFonts w:hint="eastAsia" w:ascii="仿宋" w:hAnsi="仿宋" w:eastAsia="仿宋"/>
          <w:color w:val="333333"/>
          <w:sz w:val="32"/>
          <w:szCs w:val="32"/>
        </w:rPr>
        <w:t>7万元，支出决算为</w:t>
      </w:r>
      <w:r>
        <w:rPr>
          <w:rFonts w:hint="eastAsia" w:ascii="仿宋_GB2312" w:hAnsi="微软雅黑" w:eastAsia="仿宋_GB2312"/>
          <w:color w:val="333333"/>
          <w:sz w:val="32"/>
          <w:szCs w:val="32"/>
        </w:rPr>
        <w:t>7.52</w:t>
      </w:r>
      <w:r>
        <w:rPr>
          <w:rFonts w:hint="eastAsia" w:ascii="仿宋" w:hAnsi="仿宋" w:eastAsia="仿宋"/>
          <w:color w:val="333333"/>
          <w:sz w:val="32"/>
          <w:szCs w:val="32"/>
        </w:rPr>
        <w:t>元，完成年初预算的107%。决算数与年初预算数存在差异的主要原因是车辆老化，维修费增加和燃料费价格上涨。其中：</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公务用车购置支出为0万元，购置车辆0台。</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公务用车运行支出7.52万元。主要用于开展工作所需公务用车的燃料费、维修费、过路过桥费、保险费用等支出。2021年期末，部门财政拨款公务用车保有量为2辆。</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3．公务接待费</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公务接待费初预算为6.7万元，支出决算为3.9万元，完成年初预算的58%。决算数与年初预算数存在差异的主要原因是疫情期间，部分工作不能正常开展。其中：</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外宾接待支出0万元。</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其他国内公务接待支出3.9万元，主要用于统战部机关（台办、侨办）、市侨联和5个民主党派各类公务接待。</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中共三门峡市委统一战线工作部2021年度共接待外宾来访团组0个、来访人员0余人次；共接待国内来访团组20个、来访人员170余人次（不包括陪同人员）。</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八、关于预算绩效情况说明</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（一）绩效管理工作开展情况。</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ascii="Calibri" w:hAnsi="Calibri" w:eastAsia="仿宋" w:cs="Calibri"/>
          <w:color w:val="333333"/>
          <w:sz w:val="32"/>
          <w:szCs w:val="32"/>
        </w:rPr>
        <w:t> </w:t>
      </w:r>
      <w:r>
        <w:rPr>
          <w:rFonts w:hint="eastAsia" w:ascii="仿宋" w:hAnsi="仿宋" w:eastAsia="仿宋"/>
          <w:color w:val="333333"/>
          <w:sz w:val="32"/>
          <w:szCs w:val="32"/>
        </w:rPr>
        <w:t>2021年中共三门峡市委统战部严格按照财政预算管理要求开展绩效自评，严格按照年度各类财务数字及支出情况分析整理数据，资料来源真实，绩效自评工作科学合理。</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自评详情见附件：</w:t>
      </w:r>
      <w:r>
        <w:fldChar w:fldCharType="begin"/>
      </w:r>
      <w:r>
        <w:instrText xml:space="preserve"> HYPERLINK "http://smx.rootinhenan.gov.cn/sitesources/smx/upload/202303/20230302150847783.rar" \o "中共三门峡市委统一战线工作部2021年绩效自评.rar" </w:instrText>
      </w:r>
      <w:r>
        <w:fldChar w:fldCharType="separate"/>
      </w:r>
      <w:r>
        <w:rPr>
          <w:rStyle w:val="6"/>
          <w:rFonts w:hint="eastAsia" w:ascii="微软雅黑" w:hAnsi="微软雅黑" w:eastAsia="微软雅黑"/>
          <w:color w:val="0066CC"/>
          <w:sz w:val="18"/>
          <w:szCs w:val="18"/>
        </w:rPr>
        <w:t>中共三门峡市委统一战线工作部2021年绩效自评.rar</w:t>
      </w:r>
      <w:r>
        <w:rPr>
          <w:rStyle w:val="6"/>
          <w:rFonts w:hint="eastAsia" w:ascii="微软雅黑" w:hAnsi="微软雅黑" w:eastAsia="微软雅黑"/>
          <w:color w:val="0066CC"/>
          <w:sz w:val="18"/>
          <w:szCs w:val="18"/>
        </w:rPr>
        <w:fldChar w:fldCharType="end"/>
      </w:r>
    </w:p>
    <w:p>
      <w:pPr>
        <w:pStyle w:val="2"/>
        <w:shd w:val="clear" w:color="auto" w:fill="FFFFFF"/>
        <w:spacing w:before="0" w:beforeAutospacing="0" w:after="150" w:afterAutospacing="0" w:line="240" w:lineRule="atLeast"/>
        <w:ind w:firstLine="480"/>
        <w:rPr>
          <w:rFonts w:hint="eastAsia" w:ascii="微软雅黑" w:hAnsi="微软雅黑" w:eastAsia="微软雅黑"/>
          <w:color w:val="333333"/>
        </w:rPr>
      </w:pPr>
      <w:r>
        <w:rPr>
          <w:rFonts w:hint="eastAsia" w:ascii="微软雅黑" w:hAnsi="微软雅黑" w:eastAsia="微软雅黑"/>
          <w:color w:val="333333"/>
        </w:rPr>
        <w:t>         </w:t>
      </w:r>
      <w:r>
        <w:rPr>
          <w:rFonts w:hint="eastAsia" w:ascii="楷体" w:hAnsi="楷体" w:eastAsia="楷体"/>
          <w:color w:val="333333"/>
          <w:sz w:val="32"/>
          <w:szCs w:val="32"/>
        </w:rPr>
        <w:t>（二）项目绩效自评结果。</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2021年中共三门峡市委统战部</w:t>
      </w:r>
      <w:r>
        <w:rPr>
          <w:rFonts w:hint="eastAsia" w:ascii="仿宋_GB2312" w:hAnsi="微软雅黑" w:eastAsia="仿宋_GB2312"/>
          <w:color w:val="333333"/>
          <w:sz w:val="32"/>
          <w:szCs w:val="32"/>
        </w:rPr>
        <w:t>通过绩效自评，认真比对各类项目得分，全年财政性预算资金，各类指标都能够认真完成，全年的绩效目标管理任务做到了科学、合理、规范。市财政局审核意见如下：</w:t>
      </w:r>
    </w:p>
    <w:p>
      <w:pPr>
        <w:pStyle w:val="2"/>
        <w:shd w:val="clear" w:color="auto" w:fill="FFFFFF"/>
        <w:spacing w:before="75" w:beforeAutospacing="0" w:after="75" w:afterAutospacing="0" w:line="600" w:lineRule="atLeast"/>
        <w:ind w:firstLine="480"/>
        <w:jc w:val="center"/>
        <w:rPr>
          <w:rFonts w:hint="eastAsia" w:ascii="微软雅黑" w:hAnsi="微软雅黑" w:eastAsia="微软雅黑"/>
          <w:color w:val="333333"/>
        </w:rPr>
      </w:pPr>
      <w:r>
        <w:rPr>
          <w:rFonts w:ascii="仿宋" w:hAnsi="仿宋" w:eastAsia="仿宋"/>
          <w:color w:val="333333"/>
          <w:sz w:val="32"/>
          <w:szCs w:val="32"/>
        </w:rPr>
        <w:drawing>
          <wp:inline distT="0" distB="0" distL="0" distR="0">
            <wp:extent cx="9337675" cy="6289675"/>
            <wp:effectExtent l="0" t="0" r="0" b="0"/>
            <wp:docPr id="1" name="图片 1" descr="http://smx.rootinhenan.gov.cn/sitesources/smx/upload/202302/20230227105835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mx.rootinhenan.gov.cn/sitesources/smx/upload/202302/2023022710583597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337675" cy="6289675"/>
                    </a:xfrm>
                    <a:prstGeom prst="rect">
                      <a:avLst/>
                    </a:prstGeom>
                    <a:noFill/>
                    <a:ln>
                      <a:noFill/>
                    </a:ln>
                  </pic:spPr>
                </pic:pic>
              </a:graphicData>
            </a:graphic>
          </wp:inline>
        </w:drawing>
      </w:r>
      <w:r>
        <w:rPr>
          <w:rFonts w:ascii="Calibri" w:hAnsi="Calibri" w:eastAsia="仿宋" w:cs="Calibri"/>
          <w:color w:val="333333"/>
          <w:sz w:val="32"/>
          <w:szCs w:val="32"/>
        </w:rPr>
        <w:t> </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楷体" w:hAnsi="楷体" w:eastAsia="楷体"/>
          <w:color w:val="333333"/>
          <w:sz w:val="32"/>
          <w:szCs w:val="32"/>
        </w:rPr>
        <w:t>（三）以单位为主体开展的重点绩效评价结果。</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中共三门峡市委统战部未开展重点绩效评价。</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九、关于政府性基金预算财政拨款支出决算情况说明</w:t>
      </w:r>
    </w:p>
    <w:p>
      <w:pPr>
        <w:pStyle w:val="2"/>
        <w:shd w:val="clear" w:color="auto" w:fill="FFFFFF"/>
        <w:spacing w:before="75" w:beforeAutospacing="0" w:after="75" w:afterAutospacing="0" w:line="600" w:lineRule="atLeast"/>
        <w:ind w:firstLine="630"/>
        <w:rPr>
          <w:rFonts w:hint="eastAsia" w:ascii="微软雅黑" w:hAnsi="微软雅黑" w:eastAsia="微软雅黑"/>
          <w:color w:val="333333"/>
        </w:rPr>
      </w:pPr>
      <w:r>
        <w:rPr>
          <w:rFonts w:hint="eastAsia" w:ascii="仿宋" w:hAnsi="仿宋" w:eastAsia="仿宋"/>
          <w:color w:val="333333"/>
          <w:sz w:val="32"/>
          <w:szCs w:val="32"/>
        </w:rPr>
        <w:t>中共三门峡市委统战部2021年度政府性基金预算财政拨款支出年初预算为0元，支出决算为0元，完成年初预算的0%。</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十、机关运行经费支出情况说明</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机关运行经费年初预算为71.79万元，支出决算为72.51万元，完成预算的101%。决算数与年初预算数存在差异的主要原因是防疫工作开展，为值守小区购买防疫物资等临时性支出年初预算未安排。</w:t>
      </w:r>
    </w:p>
    <w:p>
      <w:pPr>
        <w:pStyle w:val="2"/>
        <w:shd w:val="clear" w:color="auto" w:fill="FFFFFF"/>
        <w:spacing w:before="75" w:beforeAutospacing="0" w:after="75" w:afterAutospacing="0" w:line="585" w:lineRule="atLeast"/>
        <w:ind w:firstLine="645"/>
        <w:rPr>
          <w:rFonts w:hint="eastAsia" w:ascii="微软雅黑" w:hAnsi="微软雅黑" w:eastAsia="微软雅黑"/>
          <w:color w:val="333333"/>
        </w:rPr>
      </w:pPr>
      <w:r>
        <w:rPr>
          <w:rFonts w:hint="eastAsia" w:ascii="仿宋" w:hAnsi="仿宋" w:eastAsia="仿宋"/>
          <w:color w:val="333333"/>
          <w:sz w:val="32"/>
          <w:szCs w:val="32"/>
        </w:rPr>
        <w:t>中共三门峡市委统战部2021年度机关运行经费支出</w:t>
      </w:r>
      <w:r>
        <w:rPr>
          <w:rFonts w:hint="eastAsia" w:ascii="仿宋_GB2312" w:hAnsi="微软雅黑" w:eastAsia="仿宋_GB2312"/>
          <w:color w:val="333333"/>
          <w:sz w:val="32"/>
          <w:szCs w:val="32"/>
        </w:rPr>
        <w:t>72.51</w:t>
      </w:r>
      <w:r>
        <w:rPr>
          <w:rFonts w:hint="eastAsia" w:ascii="仿宋" w:hAnsi="仿宋" w:eastAsia="仿宋"/>
          <w:color w:val="333333"/>
          <w:sz w:val="32"/>
          <w:szCs w:val="32"/>
        </w:rPr>
        <w:t>万元，较2020年度减少29.84万元，下降29%。主要原因是疫情期间，部分工作不能正常开展。</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十一、政府采购支出情况说明</w:t>
      </w:r>
    </w:p>
    <w:p>
      <w:pPr>
        <w:pStyle w:val="2"/>
        <w:shd w:val="clear" w:color="auto" w:fill="FFFFFF"/>
        <w:spacing w:before="75" w:beforeAutospacing="0" w:after="75" w:afterAutospacing="0" w:line="600" w:lineRule="atLeast"/>
        <w:ind w:firstLine="630"/>
        <w:rPr>
          <w:rFonts w:hint="eastAsia" w:ascii="微软雅黑" w:hAnsi="微软雅黑" w:eastAsia="微软雅黑"/>
          <w:color w:val="333333"/>
        </w:rPr>
      </w:pPr>
      <w:r>
        <w:rPr>
          <w:rFonts w:hint="eastAsia" w:ascii="仿宋" w:hAnsi="仿宋" w:eastAsia="仿宋"/>
          <w:color w:val="333333"/>
          <w:sz w:val="32"/>
          <w:szCs w:val="32"/>
        </w:rPr>
        <w:t>中共三门峡市委统战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Fonts w:hint="eastAsia" w:ascii="黑体" w:hAnsi="黑体" w:eastAsia="黑体"/>
          <w:color w:val="333333"/>
          <w:sz w:val="32"/>
          <w:szCs w:val="32"/>
        </w:rPr>
        <w:t>十二、国有资产占用情况说明</w:t>
      </w:r>
    </w:p>
    <w:p>
      <w:pPr>
        <w:pStyle w:val="2"/>
        <w:shd w:val="clear" w:color="auto" w:fill="FFFFFF"/>
        <w:spacing w:before="75" w:beforeAutospacing="0" w:after="75" w:afterAutospacing="0" w:line="600" w:lineRule="atLeast"/>
        <w:ind w:firstLine="630"/>
        <w:rPr>
          <w:rFonts w:hint="eastAsia" w:ascii="微软雅黑" w:hAnsi="微软雅黑" w:eastAsia="微软雅黑"/>
          <w:color w:val="333333"/>
        </w:rPr>
      </w:pPr>
      <w:r>
        <w:rPr>
          <w:rFonts w:hint="eastAsia" w:ascii="仿宋" w:hAnsi="仿宋" w:eastAsia="仿宋"/>
          <w:color w:val="333333"/>
          <w:sz w:val="32"/>
          <w:szCs w:val="32"/>
        </w:rPr>
        <w:t>2021年期末，河南省中共三门峡市委统一战线工作部共有车辆2辆，其中：一般公务用车2辆、一般执法执勤用车0辆、特种专业技术用车0辆，其他用车0辆；单位价值50万元以上通用设备0台（套），单位价值100万元以上专用设备0台（套）。</w:t>
      </w:r>
    </w:p>
    <w:p>
      <w:pPr>
        <w:pStyle w:val="2"/>
        <w:shd w:val="clear" w:color="auto" w:fill="FFFFFF"/>
        <w:spacing w:before="75" w:beforeAutospacing="0" w:after="75" w:afterAutospacing="0" w:line="600" w:lineRule="atLeast"/>
        <w:ind w:firstLine="630"/>
        <w:rPr>
          <w:rFonts w:hint="eastAsia" w:ascii="微软雅黑" w:hAnsi="微软雅黑" w:eastAsia="微软雅黑"/>
          <w:color w:val="333333"/>
        </w:rPr>
      </w:pPr>
      <w:r>
        <w:rPr>
          <w:rFonts w:hint="eastAsia" w:ascii="微软雅黑" w:hAnsi="微软雅黑" w:eastAsia="微软雅黑"/>
          <w:color w:val="333333"/>
        </w:rPr>
        <w:t> </w:t>
      </w:r>
    </w:p>
    <w:p>
      <w:pPr>
        <w:pStyle w:val="2"/>
        <w:shd w:val="clear" w:color="auto" w:fill="FFFFFF"/>
        <w:spacing w:before="75" w:beforeAutospacing="0" w:after="75" w:afterAutospacing="0" w:line="600" w:lineRule="atLeast"/>
        <w:ind w:firstLine="630"/>
        <w:jc w:val="center"/>
        <w:rPr>
          <w:rFonts w:hint="eastAsia" w:ascii="微软雅黑" w:hAnsi="微软雅黑" w:eastAsia="微软雅黑"/>
          <w:color w:val="333333"/>
        </w:rPr>
      </w:pPr>
      <w:r>
        <w:rPr>
          <w:rFonts w:hint="eastAsia"/>
          <w:color w:val="333333"/>
          <w:sz w:val="48"/>
          <w:szCs w:val="48"/>
        </w:rPr>
        <w:t> </w:t>
      </w:r>
    </w:p>
    <w:p>
      <w:pPr>
        <w:pStyle w:val="2"/>
        <w:shd w:val="clear" w:color="auto" w:fill="FFFFFF"/>
        <w:spacing w:before="75" w:beforeAutospacing="0" w:after="75" w:afterAutospacing="0" w:line="600" w:lineRule="atLeast"/>
        <w:ind w:firstLine="630"/>
        <w:jc w:val="center"/>
        <w:rPr>
          <w:rFonts w:hint="eastAsia" w:ascii="微软雅黑" w:hAnsi="微软雅黑" w:eastAsia="微软雅黑"/>
          <w:color w:val="333333"/>
        </w:rPr>
      </w:pPr>
      <w:r>
        <w:rPr>
          <w:rFonts w:hint="eastAsia" w:ascii="黑体" w:hAnsi="黑体" w:eastAsia="黑体"/>
          <w:color w:val="333333"/>
          <w:sz w:val="48"/>
          <w:szCs w:val="48"/>
        </w:rPr>
        <w:t>第四部分</w:t>
      </w:r>
      <w:r>
        <w:rPr>
          <w:rFonts w:hint="eastAsia"/>
          <w:color w:val="333333"/>
          <w:sz w:val="48"/>
          <w:szCs w:val="48"/>
        </w:rPr>
        <w:t> </w:t>
      </w:r>
      <w:r>
        <w:rPr>
          <w:rFonts w:hint="eastAsia" w:ascii="黑体" w:hAnsi="黑体" w:eastAsia="黑体"/>
          <w:color w:val="333333"/>
          <w:sz w:val="48"/>
          <w:szCs w:val="48"/>
        </w:rPr>
        <w:t>名词解释</w:t>
      </w:r>
    </w:p>
    <w:p>
      <w:pPr>
        <w:pStyle w:val="2"/>
        <w:shd w:val="clear" w:color="auto" w:fill="FFFFFF"/>
        <w:spacing w:before="75" w:beforeAutospacing="0" w:after="75" w:afterAutospacing="0" w:line="600" w:lineRule="atLeast"/>
        <w:ind w:firstLine="645"/>
        <w:rPr>
          <w:rFonts w:hint="eastAsia" w:ascii="微软雅黑" w:hAnsi="微软雅黑" w:eastAsia="微软雅黑"/>
          <w:color w:val="333333"/>
        </w:rPr>
      </w:pPr>
      <w:r>
        <w:rPr>
          <w:rStyle w:val="5"/>
          <w:rFonts w:ascii="Calibri" w:hAnsi="Calibri" w:eastAsia="仿宋" w:cs="Calibri"/>
          <w:color w:val="333333"/>
          <w:sz w:val="32"/>
          <w:szCs w:val="32"/>
        </w:rPr>
        <w:t> </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一、财政拨款收入：</w:t>
      </w:r>
      <w:r>
        <w:rPr>
          <w:rFonts w:hint="eastAsia" w:ascii="仿宋_GB2312" w:hAnsi="微软雅黑" w:eastAsia="仿宋_GB2312"/>
          <w:color w:val="333333"/>
          <w:sz w:val="32"/>
          <w:szCs w:val="32"/>
        </w:rPr>
        <w:t>单位从同级政府财政部门取得的财政预算资金。</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二、事业收入：</w:t>
      </w:r>
      <w:r>
        <w:rPr>
          <w:rFonts w:hint="eastAsia" w:ascii="仿宋_GB2312" w:hAnsi="微软雅黑" w:eastAsia="仿宋_GB2312"/>
          <w:color w:val="333333"/>
          <w:sz w:val="32"/>
          <w:szCs w:val="32"/>
        </w:rPr>
        <w:t>事业单位开展专业业务活动及其辅助活动取得的收入。</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三、上级补助收入：</w:t>
      </w:r>
      <w:r>
        <w:rPr>
          <w:rFonts w:hint="eastAsia" w:ascii="仿宋_GB2312" w:hAnsi="微软雅黑" w:eastAsia="仿宋_GB2312"/>
          <w:color w:val="333333"/>
          <w:sz w:val="32"/>
          <w:szCs w:val="32"/>
        </w:rPr>
        <w:t>事业单位从主管部门和上级单位取得的非财政补助收入。</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四、附属单位上缴收入：</w:t>
      </w:r>
      <w:r>
        <w:rPr>
          <w:rFonts w:hint="eastAsia" w:ascii="仿宋_GB2312" w:hAnsi="微软雅黑" w:eastAsia="仿宋_GB2312"/>
          <w:color w:val="333333"/>
          <w:sz w:val="32"/>
          <w:szCs w:val="32"/>
        </w:rPr>
        <w:t>事业单位取得附属独立核算单位根据有关规定上缴的收入。</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五、经营收入：事</w:t>
      </w:r>
      <w:r>
        <w:rPr>
          <w:rFonts w:hint="eastAsia" w:ascii="仿宋_GB2312" w:hAnsi="微软雅黑" w:eastAsia="仿宋_GB2312"/>
          <w:color w:val="333333"/>
          <w:sz w:val="32"/>
          <w:szCs w:val="32"/>
        </w:rPr>
        <w:t>业单位在专业业务活动及其辅助活动之外开展非独立核算经营活动取得的收入。</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六、其他收入：</w:t>
      </w:r>
      <w:r>
        <w:rPr>
          <w:rFonts w:hint="eastAsia" w:ascii="仿宋_GB2312" w:hAnsi="微软雅黑" w:eastAsia="仿宋_GB2312"/>
          <w:color w:val="333333"/>
          <w:sz w:val="32"/>
          <w:szCs w:val="32"/>
        </w:rPr>
        <w:t>单位取得的除“财政拨款收入”、“事业收入”、“上级补助收入”、“附属单位上缴收入”、“经营收入”以外的各项收入。</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七、使用非财政拨款结余：</w:t>
      </w:r>
      <w:r>
        <w:rPr>
          <w:rFonts w:hint="eastAsia" w:ascii="仿宋_GB2312" w:hAnsi="微软雅黑" w:eastAsia="仿宋_GB2312"/>
          <w:color w:val="333333"/>
          <w:sz w:val="32"/>
          <w:szCs w:val="32"/>
        </w:rPr>
        <w:t>指事业单位使用以前年度积累的非财政拨款结余弥补当年收支差额的金额。</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八、基本支出：</w:t>
      </w:r>
      <w:r>
        <w:rPr>
          <w:rFonts w:hint="eastAsia" w:ascii="仿宋_GB2312" w:hAnsi="微软雅黑" w:eastAsia="仿宋_GB2312"/>
          <w:color w:val="333333"/>
          <w:sz w:val="32"/>
          <w:szCs w:val="32"/>
        </w:rPr>
        <w:t>为保障机构正常运转、完成日常工作任务而发生的人员支出和公用支出。</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九、项目支出：</w:t>
      </w:r>
      <w:r>
        <w:rPr>
          <w:rFonts w:hint="eastAsia" w:ascii="仿宋_GB2312" w:hAnsi="微软雅黑" w:eastAsia="仿宋_GB2312"/>
          <w:color w:val="333333"/>
          <w:sz w:val="32"/>
          <w:szCs w:val="32"/>
        </w:rPr>
        <w:t>基本支出之外为完成特定行政任务和事业发展目标所发生的支出。</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十、“三公”经费：</w:t>
      </w:r>
      <w:r>
        <w:rPr>
          <w:rFonts w:hint="eastAsia" w:ascii="仿宋_GB2312" w:hAnsi="微软雅黑" w:eastAsia="仿宋_GB2312"/>
          <w:color w:val="333333"/>
          <w:sz w:val="32"/>
          <w:szCs w:val="32"/>
        </w:rPr>
        <w:t>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十一、机关运行经费：</w:t>
      </w:r>
      <w:r>
        <w:rPr>
          <w:rFonts w:hint="eastAsia" w:ascii="仿宋_GB2312" w:hAnsi="微软雅黑" w:eastAsia="仿宋_GB2312"/>
          <w:color w:val="333333"/>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十二、工资福利支出：</w:t>
      </w:r>
      <w:r>
        <w:rPr>
          <w:rFonts w:hint="eastAsia" w:ascii="仿宋_GB2312" w:hAnsi="微软雅黑" w:eastAsia="仿宋_GB2312"/>
          <w:color w:val="333333"/>
          <w:sz w:val="32"/>
          <w:szCs w:val="32"/>
        </w:rPr>
        <w:t>单位支付给在职职工和编制外长期聘用人员的各类劳动报酬，以及为上述人员缴纳的各项社会保险费等。</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十三、商品和服务支出：</w:t>
      </w:r>
      <w:r>
        <w:rPr>
          <w:rFonts w:hint="eastAsia" w:ascii="仿宋_GB2312" w:hAnsi="微软雅黑" w:eastAsia="仿宋_GB2312"/>
          <w:color w:val="333333"/>
          <w:sz w:val="32"/>
          <w:szCs w:val="32"/>
        </w:rPr>
        <w:t>单位购买商品和服务的支出。</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十四、对个人和家庭的补助支出：</w:t>
      </w:r>
      <w:r>
        <w:rPr>
          <w:rFonts w:hint="eastAsia" w:ascii="仿宋_GB2312" w:hAnsi="微软雅黑" w:eastAsia="仿宋_GB2312"/>
          <w:color w:val="333333"/>
          <w:sz w:val="32"/>
          <w:szCs w:val="32"/>
        </w:rPr>
        <w:t>单位用于对个人和家庭的补助支出。</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十五、年末结转：</w:t>
      </w:r>
      <w:r>
        <w:rPr>
          <w:rFonts w:hint="eastAsia" w:ascii="仿宋_GB2312" w:hAnsi="微软雅黑" w:eastAsia="仿宋_GB2312"/>
          <w:color w:val="333333"/>
          <w:sz w:val="32"/>
          <w:szCs w:val="32"/>
        </w:rPr>
        <w:t>本年度或以前年度预算安排，已执行但尚未完成或因客观条件发生变化无法按原计划实施，需延迟到以后年度按有关规定继续使用的资金。</w:t>
      </w:r>
    </w:p>
    <w:p>
      <w:pPr>
        <w:pStyle w:val="2"/>
        <w:shd w:val="clear" w:color="auto" w:fill="FFFFFF"/>
        <w:spacing w:before="0" w:beforeAutospacing="0" w:after="150" w:afterAutospacing="0" w:line="585" w:lineRule="atLeast"/>
        <w:ind w:firstLine="645"/>
        <w:rPr>
          <w:rFonts w:hint="eastAsia" w:ascii="微软雅黑" w:hAnsi="微软雅黑" w:eastAsia="微软雅黑"/>
          <w:color w:val="333333"/>
        </w:rPr>
      </w:pPr>
      <w:r>
        <w:rPr>
          <w:rStyle w:val="5"/>
          <w:rFonts w:hint="eastAsia" w:ascii="仿宋_GB2312" w:hAnsi="微软雅黑" w:eastAsia="仿宋_GB2312"/>
          <w:color w:val="333333"/>
          <w:sz w:val="32"/>
          <w:szCs w:val="32"/>
        </w:rPr>
        <w:t>十六、年末结余：</w:t>
      </w:r>
      <w:r>
        <w:rPr>
          <w:rFonts w:hint="eastAsia" w:ascii="仿宋_GB2312" w:hAnsi="微软雅黑" w:eastAsia="仿宋_GB2312"/>
          <w:color w:val="333333"/>
          <w:sz w:val="32"/>
          <w:szCs w:val="32"/>
        </w:rPr>
        <w:t>本年度或以前年度预算安排，已执行完毕或因客观条件发生变化无法按原预算安排实施，不需要再使用或无法按原预算安排继续使用的资金。</w:t>
      </w:r>
    </w:p>
    <w:p/>
    <w:sectPr>
      <w:pgSz w:w="11906" w:h="16838"/>
      <w:pgMar w:top="2098" w:right="1474" w:bottom="1985" w:left="1588" w:header="851" w:footer="992" w:gutter="0"/>
      <w:cols w:space="425"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4F"/>
    <w:rsid w:val="0091074F"/>
    <w:rsid w:val="009F7F8F"/>
    <w:rsid w:val="00AC6A22"/>
    <w:rsid w:val="00BC033B"/>
    <w:rsid w:val="00D43CCE"/>
    <w:rsid w:val="630A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1042</Words>
  <Characters>5941</Characters>
  <Lines>49</Lines>
  <Paragraphs>13</Paragraphs>
  <TotalTime>0</TotalTime>
  <ScaleCrop>false</ScaleCrop>
  <LinksUpToDate>false</LinksUpToDate>
  <CharactersWithSpaces>6970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2023-09-15T03:34:00Z</dcterms:created>
  <dc:creator>微软用户</dc:creator>
  <cp:lastModifiedBy>猫小白ପଓ</cp:lastModifiedBy>
  <dcterms:modified xsi:type="dcterms:W3CDTF">2023-09-15T03:36:55Z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DACE377884B74704B34DD2B0538A5A60_13</vt:lpwstr>
  </property>
</Properties>
</file>