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hAnsi="方正小标宋简体" w:eastAsia="方正小标宋简体" w:cs="方正小标宋简体"/>
          <w:bCs/>
          <w:color w:val="000000"/>
          <w:sz w:val="36"/>
          <w:szCs w:val="36"/>
        </w:rPr>
      </w:pPr>
      <w:r>
        <w:rPr>
          <w:rFonts w:hint="eastAsia" w:ascii="方正小标宋简体" w:hAnsi="方正小标宋简体" w:eastAsia="方正小标宋简体" w:cs="方正小标宋简体"/>
          <w:bCs/>
          <w:color w:val="000000"/>
          <w:sz w:val="36"/>
          <w:szCs w:val="36"/>
        </w:rPr>
        <w:t>202</w:t>
      </w:r>
      <w:r>
        <w:rPr>
          <w:rFonts w:hint="eastAsia" w:ascii="方正小标宋简体" w:hAnsi="方正小标宋简体" w:eastAsia="方正小标宋简体" w:cs="方正小标宋简体"/>
          <w:bCs/>
          <w:color w:val="000000"/>
          <w:sz w:val="36"/>
          <w:szCs w:val="36"/>
          <w:lang w:val="en-US" w:eastAsia="zh-CN"/>
        </w:rPr>
        <w:t>1</w:t>
      </w:r>
      <w:r>
        <w:rPr>
          <w:rFonts w:hint="eastAsia" w:ascii="方正小标宋简体" w:hAnsi="方正小标宋简体" w:eastAsia="方正小标宋简体" w:cs="方正小标宋简体"/>
          <w:bCs/>
          <w:color w:val="000000"/>
          <w:sz w:val="36"/>
          <w:szCs w:val="36"/>
        </w:rPr>
        <w:t>年度安全监管项目支出绩效自评报告</w:t>
      </w:r>
    </w:p>
    <w:p>
      <w:pPr>
        <w:spacing w:line="600" w:lineRule="exact"/>
        <w:jc w:val="center"/>
        <w:rPr>
          <w:rFonts w:ascii="方正小标宋简体" w:hAnsi="方正小标宋简体" w:eastAsia="方正小标宋简体" w:cs="方正小标宋简体"/>
          <w:bCs/>
          <w:color w:val="000000"/>
          <w:sz w:val="36"/>
          <w:szCs w:val="36"/>
        </w:rPr>
      </w:pPr>
    </w:p>
    <w:p>
      <w:pPr>
        <w:spacing w:line="600" w:lineRule="exact"/>
        <w:ind w:left="600"/>
        <w:rPr>
          <w:rFonts w:ascii="黑体" w:hAnsi="黑体" w:eastAsia="黑体" w:cs="黑体"/>
          <w:bCs/>
          <w:color w:val="000000"/>
          <w:sz w:val="32"/>
          <w:szCs w:val="32"/>
        </w:rPr>
      </w:pPr>
      <w:r>
        <w:rPr>
          <w:rFonts w:hint="eastAsia" w:ascii="黑体" w:hAnsi="黑体" w:eastAsia="黑体" w:cs="黑体"/>
          <w:bCs/>
          <w:color w:val="000000"/>
          <w:sz w:val="32"/>
          <w:szCs w:val="32"/>
        </w:rPr>
        <w:t>一、项目支出基本情况</w:t>
      </w:r>
    </w:p>
    <w:p>
      <w:pPr>
        <w:pStyle w:val="5"/>
        <w:shd w:val="clear" w:color="auto" w:fill="FFFFFF"/>
        <w:spacing w:before="0" w:beforeAutospacing="0" w:after="0" w:afterAutospacing="0" w:line="480" w:lineRule="auto"/>
        <w:ind w:firstLine="480"/>
        <w:jc w:val="both"/>
        <w:rPr>
          <w:rFonts w:ascii="仿宋_GB2312" w:hAnsi="仿宋_GB2312" w:eastAsia="仿宋_GB2312" w:cs="仿宋_GB2312"/>
          <w:bCs/>
          <w:color w:val="000000"/>
          <w:kern w:val="2"/>
          <w:sz w:val="32"/>
          <w:szCs w:val="32"/>
        </w:rPr>
      </w:pPr>
      <w:r>
        <w:rPr>
          <w:rFonts w:hint="eastAsia" w:ascii="仿宋_GB2312" w:hAnsi="仿宋_GB2312" w:eastAsia="仿宋_GB2312" w:cs="仿宋_GB2312"/>
          <w:bCs/>
          <w:color w:val="000000"/>
          <w:kern w:val="2"/>
          <w:sz w:val="32"/>
          <w:szCs w:val="32"/>
        </w:rPr>
        <w:t>我局负责全市的非煤矿山、工矿商贸、危险化学品安全监督工作，依法监督检查本行业生产经营单位贯彻落实安全生产法律法规和标准情况，指导监督行业企业安全预防控制体系建设等工作。</w:t>
      </w:r>
    </w:p>
    <w:p>
      <w:pPr>
        <w:pStyle w:val="5"/>
        <w:shd w:val="clear" w:color="auto" w:fill="FFFFFF"/>
        <w:spacing w:before="0" w:beforeAutospacing="0" w:after="0" w:afterAutospacing="0" w:line="480" w:lineRule="auto"/>
        <w:ind w:firstLine="480"/>
        <w:jc w:val="both"/>
        <w:rPr>
          <w:rFonts w:ascii="仿宋_GB2312" w:hAnsi="仿宋_GB2312" w:eastAsia="仿宋_GB2312" w:cs="仿宋_GB2312"/>
          <w:bCs/>
          <w:color w:val="000000"/>
          <w:kern w:val="2"/>
          <w:sz w:val="32"/>
          <w:szCs w:val="32"/>
        </w:rPr>
      </w:pPr>
      <w:r>
        <w:rPr>
          <w:rFonts w:hint="eastAsia" w:ascii="仿宋_GB2312" w:hAnsi="仿宋_GB2312" w:eastAsia="仿宋_GB2312" w:cs="仿宋_GB2312"/>
          <w:bCs/>
          <w:color w:val="000000"/>
          <w:kern w:val="2"/>
          <w:sz w:val="32"/>
          <w:szCs w:val="32"/>
        </w:rPr>
        <w:t>日常费用支出主要体现在开展安全检查、尾矿库三级库长公示、专家会诊等产生的费用，年初安全监管项目预算支出</w:t>
      </w:r>
      <w:r>
        <w:rPr>
          <w:rFonts w:hint="eastAsia" w:ascii="仿宋_GB2312" w:hAnsi="仿宋_GB2312" w:eastAsia="仿宋_GB2312" w:cs="仿宋_GB2312"/>
          <w:bCs/>
          <w:color w:val="000000"/>
          <w:kern w:val="2"/>
          <w:sz w:val="32"/>
          <w:szCs w:val="32"/>
          <w:lang w:val="en-US" w:eastAsia="zh-CN"/>
        </w:rPr>
        <w:t>77</w:t>
      </w:r>
      <w:r>
        <w:rPr>
          <w:rFonts w:hint="eastAsia" w:ascii="仿宋_GB2312" w:hAnsi="仿宋_GB2312" w:eastAsia="仿宋_GB2312" w:cs="仿宋_GB2312"/>
          <w:bCs/>
          <w:color w:val="000000"/>
          <w:kern w:val="2"/>
          <w:sz w:val="32"/>
          <w:szCs w:val="32"/>
        </w:rPr>
        <w:t>万元，全年严格按照预算执行，实现支出</w:t>
      </w:r>
      <w:r>
        <w:rPr>
          <w:rFonts w:hint="eastAsia" w:ascii="仿宋_GB2312" w:hAnsi="仿宋_GB2312" w:eastAsia="仿宋_GB2312" w:cs="仿宋_GB2312"/>
          <w:bCs/>
          <w:color w:val="000000"/>
          <w:kern w:val="2"/>
          <w:sz w:val="32"/>
          <w:szCs w:val="32"/>
          <w:lang w:val="en-US" w:eastAsia="zh-CN"/>
        </w:rPr>
        <w:t>76.83</w:t>
      </w:r>
      <w:r>
        <w:rPr>
          <w:rFonts w:hint="eastAsia" w:ascii="仿宋_GB2312" w:hAnsi="仿宋_GB2312" w:eastAsia="仿宋_GB2312" w:cs="仿宋_GB2312"/>
          <w:bCs/>
          <w:color w:val="000000"/>
          <w:kern w:val="2"/>
          <w:sz w:val="32"/>
          <w:szCs w:val="32"/>
        </w:rPr>
        <w:t>万元。</w:t>
      </w:r>
    </w:p>
    <w:p>
      <w:pPr>
        <w:spacing w:line="600" w:lineRule="exact"/>
        <w:ind w:firstLine="640" w:firstLineChars="200"/>
        <w:rPr>
          <w:rFonts w:ascii="黑体" w:hAnsi="黑体" w:eastAsia="黑体" w:cs="黑体"/>
          <w:bCs/>
          <w:color w:val="000000"/>
          <w:sz w:val="32"/>
          <w:szCs w:val="32"/>
        </w:rPr>
      </w:pPr>
      <w:r>
        <w:rPr>
          <w:rFonts w:hint="eastAsia" w:ascii="黑体" w:hAnsi="黑体" w:eastAsia="黑体" w:cs="黑体"/>
          <w:bCs/>
          <w:color w:val="000000"/>
          <w:sz w:val="32"/>
          <w:szCs w:val="32"/>
        </w:rPr>
        <w:t>二、绩效自评工作开展情况</w:t>
      </w:r>
    </w:p>
    <w:p>
      <w:pPr>
        <w:spacing w:line="600" w:lineRule="exact"/>
        <w:ind w:firstLine="640" w:firstLineChars="200"/>
        <w:rPr>
          <w:rFonts w:ascii="仿宋_GB2312" w:hAnsi="仿宋_GB2312" w:cs="仿宋_GB2312"/>
          <w:bCs/>
          <w:color w:val="000000"/>
          <w:sz w:val="32"/>
          <w:szCs w:val="32"/>
        </w:rPr>
      </w:pPr>
      <w:r>
        <w:rPr>
          <w:rFonts w:hint="eastAsia" w:ascii="仿宋_GB2312" w:hAnsi="仿宋_GB2312" w:cs="仿宋_GB2312"/>
          <w:bCs/>
          <w:color w:val="000000"/>
          <w:sz w:val="32"/>
          <w:szCs w:val="32"/>
        </w:rPr>
        <w:t>按照三年专项整治计划、年度执法检查计划、双随机一公开检查计划等，按照时间要求开展并完成相关督查检查任务，并严格执行相关费用支出标准，未发生超出预算情况。</w:t>
      </w:r>
    </w:p>
    <w:p>
      <w:pPr>
        <w:spacing w:line="600" w:lineRule="exact"/>
        <w:ind w:firstLine="640" w:firstLineChars="200"/>
        <w:rPr>
          <w:rFonts w:ascii="黑体" w:hAnsi="黑体" w:eastAsia="黑体" w:cs="仿宋_GB2312"/>
          <w:bCs/>
          <w:color w:val="000000"/>
          <w:sz w:val="32"/>
          <w:szCs w:val="32"/>
        </w:rPr>
      </w:pPr>
      <w:r>
        <w:rPr>
          <w:rFonts w:hint="eastAsia" w:ascii="黑体" w:hAnsi="黑体" w:eastAsia="黑体" w:cs="黑体"/>
          <w:bCs/>
          <w:color w:val="000000"/>
          <w:sz w:val="32"/>
          <w:szCs w:val="32"/>
        </w:rPr>
        <w:t>三、绩效自评结果及评价</w:t>
      </w:r>
    </w:p>
    <w:p>
      <w:pPr>
        <w:pStyle w:val="5"/>
        <w:shd w:val="clear" w:color="auto" w:fill="FFFFFF"/>
        <w:spacing w:before="0" w:beforeAutospacing="0" w:after="0" w:afterAutospacing="0" w:line="480" w:lineRule="auto"/>
        <w:ind w:firstLine="828" w:firstLineChars="259"/>
        <w:jc w:val="both"/>
        <w:rPr>
          <w:rFonts w:ascii="仿宋_GB2312" w:hAnsi="仿宋_GB2312" w:eastAsia="仿宋_GB2312" w:cs="仿宋_GB2312"/>
          <w:bCs/>
          <w:color w:val="000000"/>
          <w:kern w:val="2"/>
          <w:sz w:val="32"/>
          <w:szCs w:val="32"/>
        </w:rPr>
      </w:pPr>
      <w:r>
        <w:rPr>
          <w:rFonts w:hint="eastAsia" w:ascii="仿宋_GB2312" w:hAnsi="仿宋_GB2312" w:eastAsia="仿宋_GB2312" w:cs="仿宋_GB2312"/>
          <w:bCs/>
          <w:color w:val="000000"/>
          <w:kern w:val="2"/>
          <w:sz w:val="32"/>
          <w:szCs w:val="32"/>
        </w:rPr>
        <w:t>202</w:t>
      </w:r>
      <w:r>
        <w:rPr>
          <w:rFonts w:hint="eastAsia" w:ascii="仿宋_GB2312" w:hAnsi="仿宋_GB2312" w:eastAsia="仿宋_GB2312" w:cs="仿宋_GB2312"/>
          <w:bCs/>
          <w:color w:val="000000"/>
          <w:kern w:val="2"/>
          <w:sz w:val="32"/>
          <w:szCs w:val="32"/>
          <w:lang w:val="en-US" w:eastAsia="zh-CN"/>
        </w:rPr>
        <w:t>1</w:t>
      </w:r>
      <w:r>
        <w:rPr>
          <w:rFonts w:hint="eastAsia" w:ascii="仿宋_GB2312" w:hAnsi="仿宋_GB2312" w:eastAsia="仿宋_GB2312" w:cs="仿宋_GB2312"/>
          <w:bCs/>
          <w:color w:val="000000"/>
          <w:kern w:val="2"/>
          <w:sz w:val="32"/>
          <w:szCs w:val="32"/>
        </w:rPr>
        <w:t>年，我局从提升安全监管能力和企业本质安全水平两个层面入手，全面加强安全生产责任体系建设，突出三年专项整治、汛期检查、双重预防体系建设、地下矿山、工矿商贸、危险化学品专家会诊等重点工作，加强监督检查，实现了全市安全生产形势的持续稳定。在预算编制方面，我局严格履行预算编制程序，并结合日常工作开展情况细化预算支出项目，增强预算的针对性和准确性；在预算执行过程中，按年初预算数、按要求、按程序、按进度执行，做到实事求是，高度负责，科学合理，执行到位，未发生没有无预算、超预算安排支出的行为。</w:t>
      </w:r>
    </w:p>
    <w:p>
      <w:pPr>
        <w:spacing w:line="600" w:lineRule="exact"/>
        <w:ind w:firstLine="640" w:firstLineChars="200"/>
        <w:rPr>
          <w:rFonts w:ascii="黑体" w:hAnsi="黑体" w:eastAsia="黑体" w:cs="黑体"/>
          <w:bCs/>
          <w:color w:val="000000"/>
          <w:sz w:val="32"/>
          <w:szCs w:val="32"/>
        </w:rPr>
      </w:pPr>
      <w:r>
        <w:rPr>
          <w:rFonts w:hint="eastAsia" w:ascii="黑体" w:hAnsi="黑体" w:eastAsia="黑体" w:cs="黑体"/>
          <w:bCs/>
          <w:color w:val="000000"/>
          <w:sz w:val="32"/>
          <w:szCs w:val="32"/>
        </w:rPr>
        <w:t>四、自评发现的问题及整改措施</w:t>
      </w:r>
    </w:p>
    <w:p>
      <w:pPr>
        <w:pStyle w:val="5"/>
        <w:shd w:val="clear" w:color="auto" w:fill="FFFFFF"/>
        <w:spacing w:before="0" w:beforeAutospacing="0" w:after="0" w:afterAutospacing="0" w:line="480" w:lineRule="auto"/>
        <w:ind w:firstLine="480"/>
        <w:jc w:val="both"/>
        <w:rPr>
          <w:rFonts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主要存在预算编制和执行偏差问题。安全生产检查工作的频次必须根据当年实际情况开展完成。另有国家、省开展的专项检查和异地检查等工作，在上年度预算的编制时无法准确预计，因而造成预算与实际支出存在差异。</w:t>
      </w:r>
    </w:p>
    <w:p>
      <w:pPr>
        <w:pStyle w:val="5"/>
        <w:shd w:val="clear" w:color="auto" w:fill="FFFFFF"/>
        <w:spacing w:before="0" w:beforeAutospacing="0" w:after="0" w:afterAutospacing="0" w:line="480" w:lineRule="auto"/>
        <w:ind w:firstLine="480"/>
        <w:jc w:val="both"/>
      </w:pPr>
      <w:r>
        <w:rPr>
          <w:rFonts w:hint="eastAsia" w:ascii="仿宋_GB2312" w:hAnsi="仿宋_GB2312" w:eastAsia="仿宋_GB2312" w:cs="仿宋_GB2312"/>
          <w:bCs/>
          <w:color w:val="000000"/>
          <w:sz w:val="32"/>
          <w:szCs w:val="32"/>
        </w:rPr>
        <w:t>下一步要强化预算管理意识，预算编制前多与有关各方做好沟通衔接，提高预算编制的科学性、合理性、准确性和可控性。强化预算的刚性约束，凡事做到“先预算后开支”。</w:t>
      </w:r>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 w:name="方正小标宋简体">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63CA"/>
    <w:rsid w:val="003063CA"/>
    <w:rsid w:val="00D06398"/>
    <w:rsid w:val="00FC6626"/>
    <w:rsid w:val="4A4961C5"/>
    <w:rsid w:val="4AED14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2">
    <w:name w:val="heading 2"/>
    <w:basedOn w:val="1"/>
    <w:next w:val="1"/>
    <w:qFormat/>
    <w:uiPriority w:val="0"/>
    <w:pPr>
      <w:keepNext/>
      <w:keepLines/>
      <w:spacing w:line="413" w:lineRule="auto"/>
      <w:outlineLvl w:val="1"/>
    </w:pPr>
    <w:rPr>
      <w:rFonts w:ascii="Arial" w:hAnsi="Arial" w:eastAsia="黑体"/>
      <w:b/>
      <w:sz w:val="32"/>
    </w:rPr>
  </w:style>
  <w:style w:type="character" w:default="1" w:styleId="7">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uiPriority w:val="99"/>
    <w:pPr>
      <w:widowControl/>
      <w:spacing w:before="100" w:beforeAutospacing="1" w:after="100" w:afterAutospacing="1"/>
      <w:jc w:val="left"/>
    </w:pPr>
    <w:rPr>
      <w:rFonts w:ascii="宋体" w:hAnsi="宋体" w:eastAsia="宋体" w:cs="宋体"/>
      <w:kern w:val="0"/>
      <w:sz w:val="24"/>
    </w:rPr>
  </w:style>
  <w:style w:type="character" w:customStyle="1" w:styleId="8">
    <w:name w:val="页眉 Char"/>
    <w:basedOn w:val="7"/>
    <w:link w:val="4"/>
    <w:qFormat/>
    <w:uiPriority w:val="0"/>
    <w:rPr>
      <w:rFonts w:eastAsia="仿宋_GB2312"/>
      <w:kern w:val="2"/>
      <w:sz w:val="18"/>
      <w:szCs w:val="18"/>
    </w:rPr>
  </w:style>
  <w:style w:type="character" w:customStyle="1" w:styleId="9">
    <w:name w:val="页脚 Char"/>
    <w:basedOn w:val="7"/>
    <w:link w:val="3"/>
    <w:uiPriority w:val="0"/>
    <w:rPr>
      <w:rFonts w:eastAsia="仿宋_GB2312"/>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110</Words>
  <Characters>633</Characters>
  <Lines>5</Lines>
  <Paragraphs>1</Paragraphs>
  <TotalTime>21</TotalTime>
  <ScaleCrop>false</ScaleCrop>
  <LinksUpToDate>false</LinksUpToDate>
  <CharactersWithSpaces>742</CharactersWithSpaces>
  <Application>WPS Office_11.8.6.8697_F1E327BC-269C-435d-A152-05C5408002CA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RX</cp:lastModifiedBy>
  <dcterms:modified xsi:type="dcterms:W3CDTF">2022-05-16T07:41:54Z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2052-11.8.6.8697</vt:lpwstr>
  </property>
  <property fmtid="{D5CDD505-2E9C-101B-9397-08002B2CF9AE}" pid="3" name="ICV">
    <vt:lpwstr>7838397F72DD48F89A08572E26804C1B</vt:lpwstr>
  </property>
</Properties>
</file>