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lang w:eastAsia="zh-CN"/>
        </w:rPr>
        <w:t>2021年</w:t>
      </w:r>
      <w:r>
        <w:rPr>
          <w:rFonts w:hint="eastAsia" w:ascii="黑体" w:hAnsi="黑体" w:eastAsia="黑体" w:cs="黑体"/>
          <w:sz w:val="52"/>
          <w:szCs w:val="52"/>
        </w:rPr>
        <w:t>度三门峡市有色金属质量科学研究所部门决算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w:t>
      </w:r>
      <w:r>
        <w:rPr>
          <w:rFonts w:hint="eastAsia" w:ascii="黑体" w:hAnsi="黑体" w:eastAsia="黑体" w:cs="黑体"/>
          <w:sz w:val="32"/>
          <w:szCs w:val="32"/>
          <w:lang w:eastAsia="zh-CN"/>
        </w:rPr>
        <w:t>二</w:t>
      </w:r>
      <w:r>
        <w:rPr>
          <w:rFonts w:hint="eastAsia" w:ascii="黑体" w:hAnsi="黑体" w:eastAsia="黑体" w:cs="黑体"/>
          <w:sz w:val="32"/>
          <w:szCs w:val="32"/>
        </w:rPr>
        <w:t>年</w:t>
      </w:r>
      <w:r>
        <w:rPr>
          <w:rFonts w:hint="eastAsia" w:ascii="黑体" w:hAnsi="黑体" w:eastAsia="黑体" w:cs="黑体"/>
          <w:sz w:val="32"/>
          <w:szCs w:val="32"/>
          <w:highlight w:val="none"/>
        </w:rPr>
        <w:t>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三门峡市有色金属质量科学研究所概况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2021年</w:t>
      </w:r>
      <w:r>
        <w:rPr>
          <w:rFonts w:hint="eastAsia" w:ascii="黑体" w:hAnsi="黑体" w:eastAsia="黑体" w:cs="黑体"/>
          <w:sz w:val="32"/>
          <w:szCs w:val="32"/>
        </w:rPr>
        <w:t>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2021年</w:t>
      </w:r>
      <w:r>
        <w:rPr>
          <w:rFonts w:hint="eastAsia" w:ascii="黑体" w:hAnsi="黑体" w:eastAsia="黑体" w:cs="黑体"/>
          <w:sz w:val="32"/>
          <w:szCs w:val="32"/>
        </w:rPr>
        <w:t>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三门峡市有色金属质量科学研究所概况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门峡市有色金属质量科学研究所主要职责是：开展有色金属质量控制工艺研究；引进有色金属质量科学成果并组织转化；建立有色金属产业质量数据库，推进全产业质量提升；开展标准化研究，承担有色金属标准的制、修订和宣贯工作；依法承担有色金属产品的检验工作和全市有色金属检测数据的比对工作；开展有色金属行业节能降耗相关标准的实施监督工作；建立健全质量检验制度和质量保证体系；开展新的检测技术、检验方法和检测仪器设备的研究。</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cs="宋体"/>
          <w:kern w:val="0"/>
          <w:sz w:val="32"/>
          <w:szCs w:val="32"/>
        </w:rPr>
        <w:t>三门峡市有色金属质量科学研究所</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个，包括：</w:t>
      </w:r>
      <w:r>
        <w:rPr>
          <w:rFonts w:hint="eastAsia" w:ascii="仿宋_GB2312" w:hAnsi="仿宋_GB2312" w:eastAsia="仿宋_GB2312" w:cs="仿宋_GB2312"/>
          <w:kern w:val="0"/>
          <w:sz w:val="32"/>
          <w:szCs w:val="32"/>
          <w:lang w:eastAsia="zh-CN"/>
        </w:rPr>
        <w:t>综合业务室、财务室、金属材料研究室、资源综合利用研究室</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宋体" w:eastAsia="仿宋_GB2312" w:cs="宋体"/>
          <w:kern w:val="0"/>
          <w:sz w:val="32"/>
          <w:szCs w:val="32"/>
        </w:rPr>
        <w:t>三门峡市有色金属质量科学研究所</w:t>
      </w:r>
      <w:r>
        <w:rPr>
          <w:rFonts w:hint="eastAsia" w:ascii="仿宋_GB2312" w:hAnsi="仿宋_GB2312" w:eastAsia="仿宋_GB2312" w:cs="仿宋_GB2312"/>
          <w:kern w:val="0"/>
          <w:sz w:val="32"/>
          <w:szCs w:val="32"/>
        </w:rPr>
        <w:t>部门决算包括：本级决算、所属单位决算。</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第二部分  </w:t>
      </w:r>
      <w:r>
        <w:rPr>
          <w:rFonts w:hint="eastAsia" w:ascii="黑体" w:hAnsi="黑体" w:eastAsia="黑体" w:cs="黑体"/>
          <w:sz w:val="48"/>
          <w:szCs w:val="48"/>
          <w:lang w:eastAsia="zh-CN"/>
        </w:rPr>
        <w:t>2021年</w:t>
      </w:r>
      <w:r>
        <w:rPr>
          <w:rFonts w:hint="eastAsia" w:ascii="黑体" w:hAnsi="黑体" w:eastAsia="黑体" w:cs="黑体"/>
          <w:sz w:val="48"/>
          <w:szCs w:val="48"/>
        </w:rPr>
        <w:t>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1"/>
        <w:gridCol w:w="829"/>
        <w:gridCol w:w="1107"/>
        <w:gridCol w:w="4442"/>
        <w:gridCol w:w="829"/>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82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82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4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2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4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8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部门：三门峡市有色金属质量科学研究所</w:t>
            </w:r>
          </w:p>
        </w:tc>
        <w:tc>
          <w:tcPr>
            <w:tcW w:w="82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44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2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4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6757"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313"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0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231.19</w:t>
            </w: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232.88</w:t>
            </w: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51.37</w:t>
            </w: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21"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9" w:type="dxa"/>
            <w:tcBorders>
              <w:top w:val="nil"/>
              <w:left w:val="nil"/>
              <w:bottom w:val="single" w:color="000000" w:sz="8"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284.25</w:t>
            </w:r>
          </w:p>
        </w:tc>
        <w:tc>
          <w:tcPr>
            <w:tcW w:w="44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4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0"/>
        <w:gridCol w:w="234"/>
        <w:gridCol w:w="234"/>
        <w:gridCol w:w="4168"/>
        <w:gridCol w:w="1919"/>
        <w:gridCol w:w="143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1616" w:type="dxa"/>
          <w:trHeight w:val="390" w:hRule="atLeast"/>
        </w:trPr>
        <w:tc>
          <w:tcPr>
            <w:tcW w:w="12012" w:type="dxa"/>
            <w:gridSpan w:val="6"/>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02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3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6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3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02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部门：三门峡市有色金属质量科学研究所</w:t>
            </w:r>
          </w:p>
        </w:tc>
        <w:tc>
          <w:tcPr>
            <w:tcW w:w="23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16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1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3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65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1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6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6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6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65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1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65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232.88</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231.19</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215.31</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217.01</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215.31</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149.00</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149.00</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68.01</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66.31</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88"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16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19"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3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616" w:type="dxa"/>
          <w:trHeight w:val="308" w:hRule="atLeast"/>
        </w:trPr>
        <w:tc>
          <w:tcPr>
            <w:tcW w:w="12012"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2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6"/>
        <w:gridCol w:w="222"/>
        <w:gridCol w:w="222"/>
        <w:gridCol w:w="3956"/>
        <w:gridCol w:w="882"/>
        <w:gridCol w:w="771"/>
        <w:gridCol w:w="882"/>
        <w:gridCol w:w="436"/>
        <w:gridCol w:w="43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3239"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81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8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部门：三门峡市有色金属质量科学研究所</w:t>
            </w: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21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7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231.25</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86.85</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144.40</w:t>
            </w: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215.37</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70.97</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144.40</w:t>
            </w: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215.37</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70.97</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144.40</w:t>
            </w: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126.88</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126.88</w:t>
            </w: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70.97</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70.97</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77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882"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239" w:type="dxa"/>
            <w:gridSpan w:val="10"/>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3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6"/>
        <w:gridCol w:w="476"/>
        <w:gridCol w:w="950"/>
        <w:gridCol w:w="3660"/>
        <w:gridCol w:w="476"/>
        <w:gridCol w:w="876"/>
        <w:gridCol w:w="948"/>
        <w:gridCol w:w="49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3309"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81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47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8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部门：三门峡市有色金属质量科学研究所</w:t>
            </w:r>
          </w:p>
        </w:tc>
        <w:tc>
          <w:tcPr>
            <w:tcW w:w="47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5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242"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067"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381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4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9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3816"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7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231.19</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196.16</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196.16</w:t>
            </w: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231.19</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8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6" w:type="dxa"/>
            <w:tcBorders>
              <w:top w:val="nil"/>
              <w:left w:val="nil"/>
              <w:bottom w:val="single" w:color="000000" w:sz="8"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9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265.04</w:t>
            </w:r>
          </w:p>
        </w:tc>
        <w:tc>
          <w:tcPr>
            <w:tcW w:w="49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26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6"/>
        <w:gridCol w:w="222"/>
        <w:gridCol w:w="222"/>
        <w:gridCol w:w="3956"/>
        <w:gridCol w:w="1411"/>
        <w:gridCol w:w="1380"/>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2694" w:type="dxa"/>
            <w:gridSpan w:val="7"/>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381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1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38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部门：三门峡市有色金属质量科学研究所</w:t>
            </w: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1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21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7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trPr>
        <w:tc>
          <w:tcPr>
            <w:tcW w:w="4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212.03</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85.15</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196.16</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69.28</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196.16</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69.28</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126.88</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69.28</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69.28</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1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87"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694" w:type="dxa"/>
            <w:gridSpan w:val="7"/>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6"/>
        <w:gridCol w:w="2191"/>
        <w:gridCol w:w="975"/>
        <w:gridCol w:w="750"/>
        <w:gridCol w:w="330"/>
        <w:gridCol w:w="1757"/>
        <w:gridCol w:w="163"/>
        <w:gridCol w:w="1155"/>
        <w:gridCol w:w="930"/>
        <w:gridCol w:w="3781"/>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4458" w:type="dxa"/>
            <w:gridSpan w:val="1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1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19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8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2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8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13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部门：三门峡市有色金属质量科学研究所</w:t>
            </w:r>
          </w:p>
        </w:tc>
        <w:tc>
          <w:tcPr>
            <w:tcW w:w="219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8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92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78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139"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319" w:type="dxa"/>
            <w:gridSpan w:val="5"/>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19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80"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20" w:type="dxa"/>
            <w:gridSpan w:val="2"/>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78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9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80" w:type="dxa"/>
            <w:gridSpan w:val="2"/>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20" w:type="dxa"/>
            <w:gridSpan w:val="2"/>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8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81.86</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20.98</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30.59</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13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191"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8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20" w:type="dxa"/>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781"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052"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08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81.86</w:t>
            </w:r>
          </w:p>
        </w:tc>
        <w:tc>
          <w:tcPr>
            <w:tcW w:w="6029" w:type="dxa"/>
            <w:gridSpan w:val="4"/>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458"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Layout w:type="fixed"/>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Layout w:type="fixed"/>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Layout w:type="fixed"/>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r>
              <w:rPr>
                <w:rFonts w:hint="eastAsia" w:ascii="宋体" w:hAnsi="宋体" w:cs="宋体"/>
                <w:color w:val="000000"/>
                <w:kern w:val="0"/>
                <w:sz w:val="20"/>
                <w:szCs w:val="20"/>
                <w:lang w:bidi="ar"/>
              </w:rPr>
              <w:t>部门：三门峡市有色金属质量科学研究所</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Layout w:type="fixed"/>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Layout w:type="fixed"/>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Layout w:type="fixed"/>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0.37</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0.37</w:t>
            </w:r>
          </w:p>
        </w:tc>
      </w:tr>
      <w:tr>
        <w:tblPrEx>
          <w:tblLayout w:type="fixed"/>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注：本表反映部门本年度“三公”经费支出预决算情况。其中，</w:t>
            </w:r>
            <w:r>
              <w:rPr>
                <w:rStyle w:val="10"/>
                <w:rFonts w:hint="default"/>
                <w:sz w:val="20"/>
                <w:szCs w:val="20"/>
                <w:lang w:bidi="ar"/>
              </w:rPr>
              <w:t>预算数为“三公”经费</w:t>
            </w:r>
            <w:r>
              <w:rPr>
                <w:rStyle w:val="10"/>
                <w:rFonts w:hint="eastAsia" w:eastAsia="宋体"/>
                <w:sz w:val="20"/>
                <w:szCs w:val="20"/>
                <w:lang w:eastAsia="zh-CN" w:bidi="ar"/>
              </w:rPr>
              <w:t>调整</w:t>
            </w:r>
            <w:r>
              <w:rPr>
                <w:rStyle w:val="10"/>
                <w:rFonts w:hint="default"/>
                <w:sz w:val="20"/>
                <w:szCs w:val="20"/>
                <w:lang w:bidi="ar"/>
              </w:rPr>
              <w:t>预算数，决算数是包括当年一般公共预算财政拨款和以前年度结转资金安排的实际支出。</w:t>
            </w:r>
            <w:r>
              <w:rPr>
                <w:rFonts w:hint="eastAsia" w:ascii="宋体" w:hAnsi="宋体" w:cs="宋体"/>
                <w:color w:val="000000"/>
                <w:kern w:val="0"/>
                <w:sz w:val="20"/>
                <w:szCs w:val="20"/>
                <w:lang w:bidi="ar"/>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Layout w:type="fixed"/>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Layout w:type="fixed"/>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Layout w:type="fixed"/>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p>
        </w:tc>
        <w:tc>
          <w:tcPr>
            <w:tcW w:w="7590"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r>
              <w:rPr>
                <w:rFonts w:hint="eastAsia" w:ascii="宋体" w:hAnsi="宋体" w:cs="宋体"/>
                <w:color w:val="000000"/>
                <w:sz w:val="20"/>
                <w:szCs w:val="20"/>
              </w:rPr>
              <w:t>三门峡市有色金属质量科学研究所</w:t>
            </w: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Layout w:type="fixed"/>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Layout w:type="fixed"/>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Layout w:type="fixed"/>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Layout w:type="fixed"/>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注：本表反映部门本年度政府性基金预算财政拨款收入、支出及结转和结余情况。</w:t>
            </w:r>
          </w:p>
        </w:tc>
      </w:tr>
    </w:tbl>
    <w:p>
      <w:pPr>
        <w:jc w:val="center"/>
        <w:rPr>
          <w:rFonts w:hint="eastAsia" w:ascii="仿宋_GB2312" w:hAnsi="仿宋_GB2312" w:eastAsia="仿宋_GB2312" w:cs="仿宋_GB2312"/>
          <w:sz w:val="32"/>
          <w:szCs w:val="32"/>
          <w:highlight w:val="yellow"/>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yellow"/>
        </w:rPr>
        <w:t>说明：我部门没有政府性基金收入，也没有使用政府性基金安排的支出，故本表无数据。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第三部分  </w:t>
      </w:r>
      <w:r>
        <w:rPr>
          <w:rFonts w:hint="eastAsia" w:ascii="黑体" w:hAnsi="黑体" w:eastAsia="黑体" w:cs="黑体"/>
          <w:sz w:val="48"/>
          <w:szCs w:val="48"/>
          <w:lang w:eastAsia="zh-CN"/>
        </w:rPr>
        <w:t>2021年</w:t>
      </w:r>
      <w:r>
        <w:rPr>
          <w:rFonts w:hint="eastAsia" w:ascii="黑体" w:hAnsi="黑体" w:eastAsia="黑体" w:cs="黑体"/>
          <w:sz w:val="48"/>
          <w:szCs w:val="48"/>
        </w:rPr>
        <w:t>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度收、支总计均为</w:t>
      </w:r>
      <w:r>
        <w:rPr>
          <w:rFonts w:hint="eastAsia" w:ascii="仿宋_GB2312" w:hAnsi="仿宋_GB2312" w:eastAsia="仿宋_GB2312" w:cs="仿宋_GB2312"/>
          <w:sz w:val="32"/>
          <w:szCs w:val="32"/>
          <w:lang w:val="en-US" w:eastAsia="zh-CN"/>
        </w:rPr>
        <w:t>284.25</w:t>
      </w:r>
      <w:r>
        <w:rPr>
          <w:rFonts w:hint="eastAsia" w:ascii="仿宋_GB2312" w:hAnsi="仿宋_GB2312" w:eastAsia="仿宋_GB2312" w:cs="仿宋_GB2312"/>
          <w:sz w:val="32"/>
          <w:szCs w:val="32"/>
        </w:rPr>
        <w:t>万元。与上年度相比，收、支总计各增加</w:t>
      </w:r>
      <w:r>
        <w:rPr>
          <w:rFonts w:hint="eastAsia" w:ascii="仿宋_GB2312" w:hAnsi="仿宋_GB2312" w:eastAsia="仿宋_GB2312" w:cs="仿宋_GB2312"/>
          <w:sz w:val="32"/>
          <w:szCs w:val="32"/>
          <w:lang w:val="en-US" w:eastAsia="zh-CN"/>
        </w:rPr>
        <w:t>38.22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15.53</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项目资金的增加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度收入合计</w:t>
      </w:r>
      <w:r>
        <w:rPr>
          <w:rFonts w:hint="eastAsia" w:ascii="仿宋_GB2312" w:hAnsi="仿宋_GB2312" w:eastAsia="仿宋_GB2312" w:cs="仿宋_GB2312"/>
          <w:sz w:val="32"/>
          <w:szCs w:val="32"/>
          <w:lang w:val="en-US" w:eastAsia="zh-CN"/>
        </w:rPr>
        <w:t>232.88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231.19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99.27</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0.73</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度支出合计</w:t>
      </w:r>
      <w:r>
        <w:rPr>
          <w:rFonts w:hint="eastAsia" w:ascii="仿宋_GB2312" w:hAnsi="仿宋_GB2312" w:eastAsia="仿宋_GB2312" w:cs="仿宋_GB2312"/>
          <w:sz w:val="32"/>
          <w:szCs w:val="32"/>
          <w:lang w:val="en-US" w:eastAsia="zh-CN"/>
        </w:rPr>
        <w:t>231.25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86.85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37.56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144.4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62.44</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度财政拨款收、支总计均为</w:t>
      </w:r>
      <w:r>
        <w:rPr>
          <w:rFonts w:hint="eastAsia" w:ascii="仿宋_GB2312" w:hAnsi="仿宋_GB2312" w:eastAsia="仿宋_GB2312" w:cs="仿宋_GB2312"/>
          <w:sz w:val="32"/>
          <w:szCs w:val="32"/>
          <w:lang w:val="en-US" w:eastAsia="zh-CN"/>
        </w:rPr>
        <w:t>265.04</w:t>
      </w:r>
      <w:r>
        <w:rPr>
          <w:rFonts w:hint="eastAsia" w:ascii="仿宋_GB2312" w:hAnsi="仿宋_GB2312" w:eastAsia="仿宋_GB2312" w:cs="仿宋_GB2312"/>
          <w:sz w:val="32"/>
          <w:szCs w:val="32"/>
        </w:rPr>
        <w:t>万元。与上年度相比，财政拨款收、支总计各增加</w:t>
      </w:r>
      <w:r>
        <w:rPr>
          <w:rFonts w:hint="eastAsia" w:ascii="仿宋_GB2312" w:hAnsi="仿宋_GB2312" w:eastAsia="仿宋_GB2312" w:cs="仿宋_GB2312"/>
          <w:sz w:val="32"/>
          <w:szCs w:val="32"/>
          <w:lang w:val="en-US" w:eastAsia="zh-CN"/>
        </w:rPr>
        <w:t>52.02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24.42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项目资金的增加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w:t>
      </w:r>
      <w:r>
        <w:rPr>
          <w:rFonts w:hint="eastAsia" w:ascii="仿宋_GB2312" w:hAnsi="仿宋_GB2312" w:eastAsia="仿宋_GB2312" w:cs="仿宋_GB2312"/>
          <w:sz w:val="32"/>
          <w:szCs w:val="32"/>
          <w:lang w:val="en-US" w:eastAsia="zh-CN"/>
        </w:rPr>
        <w:t>212.03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91.69</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32.86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18.34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项目资金的增加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w:t>
      </w:r>
      <w:r>
        <w:rPr>
          <w:rFonts w:hint="eastAsia" w:ascii="仿宋_GB2312" w:hAnsi="仿宋_GB2312" w:eastAsia="仿宋_GB2312" w:cs="仿宋_GB2312"/>
          <w:sz w:val="32"/>
          <w:szCs w:val="32"/>
          <w:lang w:val="en-US" w:eastAsia="zh-CN"/>
        </w:rPr>
        <w:t>212.03</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196.16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92.52</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6.12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5.19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2.16</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度一般公共预算财政拨款支出年初预算为</w:t>
      </w:r>
      <w:r>
        <w:rPr>
          <w:rFonts w:hint="eastAsia" w:ascii="仿宋_GB2312" w:hAnsi="仿宋_GB2312" w:eastAsia="仿宋_GB2312" w:cs="仿宋_GB2312"/>
          <w:sz w:val="32"/>
          <w:szCs w:val="32"/>
          <w:lang w:val="en-US" w:eastAsia="zh-CN"/>
        </w:rPr>
        <w:t>218.59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212.03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96.99</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1．一般公共服务（类）市场监督管理事务（款）质量基础（项）。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126.88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85.15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上缴财政专户款没有及时返款</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2．一般公共服务（类）市场监督管理事务（款）</w:t>
      </w:r>
      <w:r>
        <w:rPr>
          <w:rFonts w:hint="eastAsia" w:ascii="仿宋_GB2312" w:hAnsi="仿宋_GB2312" w:eastAsia="仿宋_GB2312" w:cs="仿宋_GB2312"/>
          <w:b/>
          <w:bCs/>
          <w:sz w:val="32"/>
          <w:szCs w:val="32"/>
          <w:lang w:val="en-US" w:eastAsia="zh-CN"/>
        </w:rPr>
        <w:t>事业运行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56.46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69.28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122.7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人员经费的增加</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．社会保障和就业（类）行政事业单位养老（款）机关事业单位基本养老保险缴费（项）。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5.22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6.12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117.24</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人员社保基数的调整</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129.75</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人员社保基数的调整</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．住房保障（类）</w:t>
      </w:r>
      <w:r>
        <w:rPr>
          <w:rFonts w:hint="eastAsia" w:ascii="仿宋_GB2312" w:hAnsi="仿宋_GB2312" w:eastAsia="仿宋_GB2312" w:cs="仿宋_GB2312"/>
          <w:b/>
          <w:bCs/>
          <w:sz w:val="32"/>
          <w:szCs w:val="32"/>
          <w:lang w:val="en-US" w:eastAsia="zh-CN"/>
        </w:rPr>
        <w:t>住房改革</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住房公积金</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3.91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116.87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人员社保基数的调整</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度一般公共预算财政拨款基本支出</w:t>
      </w:r>
      <w:r>
        <w:rPr>
          <w:rFonts w:hint="eastAsia" w:ascii="仿宋_GB2312" w:hAnsi="仿宋_GB2312" w:eastAsia="仿宋_GB2312" w:cs="仿宋_GB2312"/>
          <w:sz w:val="32"/>
          <w:szCs w:val="32"/>
          <w:lang w:val="en-US" w:eastAsia="zh-CN"/>
        </w:rPr>
        <w:t>85.16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与上年度相比，增加</w:t>
      </w:r>
      <w:r>
        <w:rPr>
          <w:rFonts w:hint="eastAsia" w:ascii="仿宋_GB2312" w:hAnsi="仿宋_GB2312" w:eastAsia="仿宋_GB2312" w:cs="仿宋_GB2312"/>
          <w:sz w:val="32"/>
          <w:szCs w:val="32"/>
          <w:highlight w:val="none"/>
          <w:lang w:val="en-US" w:eastAsia="zh-CN"/>
        </w:rPr>
        <w:t>5.7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7.17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人员经费的增加。</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81.86</w:t>
      </w:r>
      <w:r>
        <w:rPr>
          <w:rFonts w:hint="eastAsia" w:ascii="仿宋_GB2312" w:hAnsi="仿宋_GB2312" w:eastAsia="仿宋_GB2312" w:cs="仿宋_GB2312"/>
          <w:sz w:val="32"/>
          <w:szCs w:val="32"/>
        </w:rPr>
        <w:t>万元，主要包括：基本工资、津贴补贴、奖金、绩效工资、机关事业单位基本养老保险缴费、职业年金缴费、职工基本医疗保险缴费、其他社会保障缴费、住房公积金；公用经费</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万元，主要包括：办公费、电费、邮电费、</w:t>
      </w:r>
      <w:r>
        <w:rPr>
          <w:rFonts w:hint="eastAsia" w:ascii="仿宋_GB2312" w:hAnsi="仿宋_GB2312" w:eastAsia="仿宋_GB2312" w:cs="仿宋_GB2312"/>
          <w:sz w:val="32"/>
          <w:szCs w:val="32"/>
          <w:lang w:val="en-US" w:eastAsia="zh-CN"/>
        </w:rPr>
        <w:t>工会经费、</w:t>
      </w:r>
      <w:r>
        <w:rPr>
          <w:rFonts w:hint="eastAsia" w:ascii="仿宋_GB2312" w:hAnsi="仿宋_GB2312" w:eastAsia="仿宋_GB2312" w:cs="仿宋_GB2312"/>
          <w:sz w:val="32"/>
          <w:szCs w:val="32"/>
        </w:rPr>
        <w:t>福利费、其他商品和服务支出。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度“三公”经费支出决算数与预算数存在差异的主要原因是</w:t>
      </w:r>
      <w:r>
        <w:rPr>
          <w:rFonts w:hint="eastAsia" w:ascii="仿宋_GB2312" w:hAnsi="仿宋_GB2312" w:eastAsia="仿宋_GB2312" w:cs="仿宋_GB2312"/>
          <w:sz w:val="32"/>
          <w:szCs w:val="32"/>
          <w:lang w:eastAsia="zh-CN"/>
        </w:rPr>
        <w:t>我单位为自收自支事业单位，因业务的需要今年临时增加公务接待费支出</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全年因公出国（境）团组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个，累计</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人次。</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val="en-US" w:eastAsia="zh-CN"/>
        </w:rPr>
        <w:t>我单位没有公车，</w:t>
      </w:r>
      <w:r>
        <w:rPr>
          <w:rFonts w:hint="eastAsia" w:ascii="仿宋_GB2312" w:hAnsi="仿宋_GB2312" w:eastAsia="仿宋_GB2312"/>
          <w:sz w:val="32"/>
          <w:szCs w:val="24"/>
          <w:lang w:val="en-US" w:eastAsia="zh-CN"/>
        </w:rPr>
        <w:t>所以没有产生公车运行费</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期末，部门开支财政拨款的公务用车保有量为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0.37</w:t>
      </w:r>
      <w:r>
        <w:rPr>
          <w:rFonts w:hint="eastAsia" w:ascii="仿宋_GB2312" w:hAnsi="仿宋_GB2312" w:eastAsia="仿宋_GB2312" w:cs="仿宋_GB2312"/>
          <w:sz w:val="32"/>
          <w:szCs w:val="32"/>
          <w:highlight w:val="none"/>
        </w:rPr>
        <w:t>万元。决算数与预算数存在差异的主要原因是</w:t>
      </w:r>
      <w:r>
        <w:rPr>
          <w:rFonts w:hint="eastAsia" w:ascii="仿宋_GB2312" w:hAnsi="仿宋_GB2312" w:eastAsia="仿宋_GB2312" w:cs="仿宋_GB2312"/>
          <w:sz w:val="32"/>
          <w:szCs w:val="32"/>
          <w:highlight w:val="none"/>
          <w:lang w:eastAsia="zh-CN"/>
        </w:rPr>
        <w:t>我单位为自收自支事业单位，因业务的需要今年临时增加公务接待费支出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0.37</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业务考察招待其他单位领导</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2021年，我单位纳入预算绩效管理的支出总额为85.16万元，其中人员经费支出81.86万元，公用经费支出3.3万元；支出项目共4个，支出金额126.88万元。其中，进行项目绩效自评4个，自评金额126.88万元；纳入重点绩效评价（部门评价或财政评价）4个，评价金额126.88万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单位对2021年度预算项目执行情况开展全面自评，涵盖项目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个，涉及预算资金</w:t>
      </w:r>
      <w:r>
        <w:rPr>
          <w:rFonts w:hint="eastAsia" w:ascii="仿宋_GB2312" w:hAnsi="仿宋_GB2312" w:eastAsia="仿宋_GB2312" w:cs="仿宋_GB2312"/>
          <w:sz w:val="32"/>
          <w:szCs w:val="32"/>
          <w:lang w:val="en-US" w:eastAsia="zh-CN"/>
        </w:rPr>
        <w:t>126.88</w:t>
      </w:r>
      <w:r>
        <w:rPr>
          <w:rFonts w:hint="eastAsia" w:ascii="仿宋_GB2312" w:hAnsi="仿宋_GB2312" w:eastAsia="仿宋_GB2312" w:cs="仿宋_GB2312"/>
          <w:sz w:val="32"/>
          <w:szCs w:val="32"/>
        </w:rPr>
        <w:t>万元，其中自评等级为优的项目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个，自评等级为良项目0个，自评等级为中项目0个。从评价情况来看，部门整体支出绩效指标设置基本合理, 符合全面深化改革要求，能较好体现单位主要职能,符合单位实际和财务管理要求，资金使用审批程序严格，较好的完成了年度绩效目标，产生了良好的社会经济效益。</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重点绩效自评结果良好。</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度政府性基金预算财政拨款支出年初预算为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我部门没有政府性基金收入，也没有使用政府性基金安排的支出，故本表无数据。</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度机关运行经费支出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万元，较上年度增加（减少）</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万元，增长（下降）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jc w:val="left"/>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bookmarkStart w:id="0" w:name="_GoBack"/>
      <w:bookmarkEnd w:id="0"/>
      <w:r>
        <w:rPr>
          <w:rFonts w:hint="eastAsia" w:ascii="仿宋_GB2312" w:hAnsi="仿宋_GB2312" w:eastAsia="仿宋_GB2312" w:cs="仿宋_GB2312"/>
          <w:sz w:val="32"/>
          <w:szCs w:val="32"/>
          <w:lang w:eastAsia="zh-CN"/>
        </w:rPr>
        <w:t>1年</w:t>
      </w:r>
      <w:r>
        <w:rPr>
          <w:rFonts w:hint="eastAsia" w:ascii="仿宋_GB2312" w:hAnsi="仿宋_GB2312" w:eastAsia="仿宋_GB2312" w:cs="仿宋_GB2312"/>
          <w:sz w:val="32"/>
          <w:szCs w:val="32"/>
        </w:rPr>
        <w:t>期末，我部门共有车辆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p>
    <w:tbl>
      <w:tblPr>
        <w:tblStyle w:val="6"/>
        <w:tblW w:w="87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703"/>
        <w:gridCol w:w="703"/>
        <w:gridCol w:w="549"/>
        <w:gridCol w:w="1116"/>
        <w:gridCol w:w="703"/>
        <w:gridCol w:w="703"/>
        <w:gridCol w:w="703"/>
        <w:gridCol w:w="703"/>
        <w:gridCol w:w="444"/>
        <w:gridCol w:w="1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atLeast"/>
        </w:trPr>
        <w:tc>
          <w:tcPr>
            <w:tcW w:w="8754"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8754" w:type="dxa"/>
            <w:gridSpan w:val="11"/>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754"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填表人及联系方式：任潇涵 18639886200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检测成本支出（办公类）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主管部门及代码</w:t>
            </w:r>
          </w:p>
        </w:tc>
        <w:tc>
          <w:tcPr>
            <w:tcW w:w="30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三门峡市市场监管局146000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5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三门峡市有色金属质量科学研究所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c>
          <w:tcPr>
            <w:tcW w:w="4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市生产领域贵金属首饰监督抽查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市生产领域金锭监督抽查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市生产领域银锭监督抽查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市生产领域铅锭监督抽查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市生产领域阴极铜监督抽查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河南省金属锭（金锭、银锭、铅锭）监督抽查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河南省阴极铜监督抽查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10批次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实验室正常运行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保证正常运行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保证正常运行</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市监督抽查工作完成率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省监督抽查工作完成率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完成市监督抽查任务1批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6月25日前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6月25日前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完成省监督抽查任务</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9月15日前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9月15日前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完成100万非税收入</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检验检测成本支出</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完成非税收入并上缴国库</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对地区金属锭产品质量提供技术监督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对地区贵金属首饰生产提供技术监督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对地区阴极铜产品质量技工技术监督</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该指标不适用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保证地区贵金属首饰生产产品质量合格率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保证地区贵金属锭生产产品合格率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保证地区阴极铜生产产品合格率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委托检验客户满意度</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抽检客户满意度</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1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97.0 </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75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注：1.绩效自评采取打分评价的形式，</w:t>
            </w:r>
            <w:r>
              <w:rPr>
                <w:rStyle w:val="11"/>
                <w:lang w:val="en-US" w:eastAsia="zh-CN" w:bidi="ar"/>
              </w:rPr>
              <w:t>原则上一级指标分值统一设置为：产出指标50分、效益指标30分、服务对象满意度10分、预算资金执行率10分。2.偏差原因分析及改进措施：说明偏离目标、不能完成目标的原因及改进措施。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75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75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tbl>
      <w:tblPr>
        <w:tblStyle w:val="6"/>
        <w:tblW w:w="8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750"/>
        <w:gridCol w:w="750"/>
        <w:gridCol w:w="430"/>
        <w:gridCol w:w="1116"/>
        <w:gridCol w:w="750"/>
        <w:gridCol w:w="750"/>
        <w:gridCol w:w="750"/>
        <w:gridCol w:w="750"/>
        <w:gridCol w:w="704"/>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8739"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8739" w:type="dxa"/>
            <w:gridSpan w:val="11"/>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8739"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填表人及联系方式：任潇涵 18639886200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检测人员成本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主管部门及代码</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三门峡市市场监管局146000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三门峡市有色金属质量科学研究所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7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c>
          <w:tcPr>
            <w:tcW w:w="41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完成市生产领域贵金属首饰监督抽查所需劳务人员费用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市生产领域金锭监督抽查所需劳务人员费用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市生产领域银锭监督抽查所需劳务人员费用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市生产领域铅锭监督抽查所需劳务人员费用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市生产领域阴极铜监督抽查所需劳务人员费用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河南省金属锭（金锭、银锭、铅锭）监督抽查所需劳务人员费用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完成其他企业及个人送检样品所需劳务人员费用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河南省阴极铜监督抽查所需劳务人员费用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10批次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实验室正常运行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保证正常运行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保证正常运行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市监督抽查工作完成率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完成其他企业及个人送检样品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省监督抽查工作完成率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完成市监督抽查任务1批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6月25日前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6月25日前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完成省监督抽查任务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9月15日前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9月15日前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完成90万非税收入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完成非税收入并上缴国库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对地区金属锭产品质量提供技术监督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对地区贵金属首饰生产提供技术监督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对地区阴极铜产品质量技工技术监督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该指标不适用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保证地区贵金属首饰生产产品质量合格率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保证地区贵金属锭生产产品合格率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保证地区阴极铜生产产品合格率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委托检验客户满意度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自收自支人员工资社保发放及时率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劳务人员工资社保发放率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抽检客户满意度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2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73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绩效自评采取打分评价的形式，原则上一级指标分值统一设置为：产出指标50分、效益指标30分、服务对象满意度10分、预算资金执行率10分。2.偏差原因分析及改进措施：说明偏离目标、不能完成目标的原因及改进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73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73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tbl>
      <w:tblPr>
        <w:tblStyle w:val="6"/>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6"/>
        <w:gridCol w:w="872"/>
        <w:gridCol w:w="328"/>
        <w:gridCol w:w="1116"/>
        <w:gridCol w:w="885"/>
        <w:gridCol w:w="885"/>
        <w:gridCol w:w="885"/>
        <w:gridCol w:w="885"/>
        <w:gridCol w:w="633"/>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trPr>
        <w:tc>
          <w:tcPr>
            <w:tcW w:w="885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8850" w:type="dxa"/>
            <w:gridSpan w:val="10"/>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0" w:type="dxa"/>
            <w:gridSpan w:val="10"/>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填表人及联系方式：任潇涵 18639886200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检测设备维修维护费用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主管部门及代码</w:t>
            </w:r>
          </w:p>
        </w:tc>
        <w:tc>
          <w:tcPr>
            <w:tcW w:w="32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三门峡市市场监管局146000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三门峡市有色金属质量科学研究所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4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4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44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每月所有检验仪器设备保养</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每年检验仪器校准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每年检验仪器检定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采购日常检测耗材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日常检验设备维修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保证研究所实验室正常运行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保证设备正常运行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保证设备正常运行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保证按照实验室管理制度检定仪器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保证按照实验室管理制度校准仪器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检定检验仪器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在每批仪器到期时间之前中心送检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在每批仪器到期时间之前中心送检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校准检验仪器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在每批仪器到期时间之前中心校准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在每批仪器到期时间之前中心校准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检验仪器维保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每月15日之前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每月15日之前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检测设备维护费用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完成非税收入并上缴国库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对地区金属锭产品质量提供技术监督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对地区贵金属首饰生产提供技术监督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对地区阴极铜产品质量技工技术监督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该指标不适用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延长我单位检验设备的使用年限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保证我单位检验设备都在检定有效期内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保证我单位检验设备都在校准期内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委托检验客户满意度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抽检客户满意度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5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 </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绩效自评采取打分评价的形式，原则上一级指标分值统一设置为：产出指标50分、效益指标30分、服务对象满意度10分、预算资金执行率10分。2.偏差原因分析及改进措施：说明偏离目标、不能完成目标的原因及改进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tbl>
      <w:tblPr>
        <w:tblStyle w:val="6"/>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885"/>
        <w:gridCol w:w="885"/>
        <w:gridCol w:w="843"/>
        <w:gridCol w:w="1116"/>
        <w:gridCol w:w="885"/>
        <w:gridCol w:w="885"/>
        <w:gridCol w:w="885"/>
        <w:gridCol w:w="885"/>
        <w:gridCol w:w="696"/>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trPr>
        <w:tc>
          <w:tcPr>
            <w:tcW w:w="9735"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735" w:type="dxa"/>
            <w:gridSpan w:val="11"/>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2021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735"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填表人及联系方式：任潇涵 18639886200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9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研究所建设及运行费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主管部门及代码</w:t>
            </w:r>
          </w:p>
        </w:tc>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三门峡市市场监管局146000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三门峡市有色金属质量科学研究所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其中：当年财政拨款</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2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6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c>
          <w:tcPr>
            <w:tcW w:w="42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目标1：完成三门峡市贵金属首饰产品质量监督抽查30批次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目标2：完成三门峡市金锭、银锭、铅锭、阴极铜产品质量监督抽查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目标3：完成河南省金属锭产品质量监督抽查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目标4：完成非税收入100万，并上交国库。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平摊办公大楼物业费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平摊办公大楼水电费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采购原子吸收一台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采购磨样机一台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研究所正常运行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市监督抽查工作完成率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保证实验室样品正常检测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样品在规定时间内完成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样品在规定时间内完成</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省监督抽查工作完成率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完成市监督抽查任务1批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6月25日前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6月25日前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完成省监督抽查任务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9月15日前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9月15日前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平摊大楼物业费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每年支付3个月物业费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按合同规定月份支付</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研究所检测运行其他费用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完成非税收入并上缴国库</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对地区金属锭产品质量提供技术监督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对地区贵金属首饰生产提供技术监督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对地区阴极铜产品质量技工技术监督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该指标不适用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保证地办公大楼正常运行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正常运行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保证实验室样品正常检测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保证水电正常使用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委托检验客户满意度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抽检客户满意度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高于90%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3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97.0 </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73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绩效自评采取打分评价的形式，原则上一级指标分值统一设置为：产出指标50分、效益指标30分、服务对象满意度10分、预算资金执行率10分。2.偏差原因分析及改进措施：说明偏离目标、不能完成目标的原因及改进措施。 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73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973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CXGLq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h3UF8ugEAAFcDAAAOAAAAAAAAAAEAIAAAAB4BAABkcnMvZTJvRG9jLnhtbFBLBQYAAAAABgAG&#10;AFkBAABK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ZrQwJ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YWRiNzc0YWU1OGVjYmZiZDIwZjAxMGZhNzBlY2MifQ=="/>
  </w:docVars>
  <w:rsids>
    <w:rsidRoot w:val="00000000"/>
    <w:rsid w:val="068A502B"/>
    <w:rsid w:val="09D83026"/>
    <w:rsid w:val="0CBA7318"/>
    <w:rsid w:val="0DBB3946"/>
    <w:rsid w:val="14CD125C"/>
    <w:rsid w:val="163F1B6B"/>
    <w:rsid w:val="191F7525"/>
    <w:rsid w:val="21DC286A"/>
    <w:rsid w:val="240E06F2"/>
    <w:rsid w:val="2477094A"/>
    <w:rsid w:val="26465FD9"/>
    <w:rsid w:val="2750185C"/>
    <w:rsid w:val="2C250F60"/>
    <w:rsid w:val="2D5347F6"/>
    <w:rsid w:val="2F451D68"/>
    <w:rsid w:val="32152054"/>
    <w:rsid w:val="34BB2AED"/>
    <w:rsid w:val="37E06ECA"/>
    <w:rsid w:val="3E4C25CA"/>
    <w:rsid w:val="403D52DB"/>
    <w:rsid w:val="41354204"/>
    <w:rsid w:val="442F13FE"/>
    <w:rsid w:val="4701142B"/>
    <w:rsid w:val="47077CF9"/>
    <w:rsid w:val="497A2108"/>
    <w:rsid w:val="4B98411F"/>
    <w:rsid w:val="4EFC09E4"/>
    <w:rsid w:val="55A51501"/>
    <w:rsid w:val="587F2E51"/>
    <w:rsid w:val="5E006AC4"/>
    <w:rsid w:val="60474D6A"/>
    <w:rsid w:val="605A47B9"/>
    <w:rsid w:val="64047D3A"/>
    <w:rsid w:val="67CB48A6"/>
    <w:rsid w:val="6F000451"/>
    <w:rsid w:val="6F570BBD"/>
    <w:rsid w:val="72640322"/>
    <w:rsid w:val="74A0585D"/>
    <w:rsid w:val="7722255A"/>
    <w:rsid w:val="78C076F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annotation reference"/>
    <w:basedOn w:val="4"/>
    <w:qFormat/>
    <w:uiPriority w:val="0"/>
    <w:rPr>
      <w:sz w:val="21"/>
      <w:szCs w:val="21"/>
    </w:rPr>
  </w:style>
  <w:style w:type="character" w:customStyle="1" w:styleId="7">
    <w:name w:val="font11"/>
    <w:basedOn w:val="4"/>
    <w:qFormat/>
    <w:uiPriority w:val="0"/>
    <w:rPr>
      <w:rFonts w:hint="eastAsia" w:ascii="宋体" w:hAnsi="宋体" w:eastAsia="宋体" w:cs="宋体"/>
      <w:color w:val="000000"/>
      <w:sz w:val="20"/>
      <w:szCs w:val="20"/>
      <w:u w:val="none"/>
    </w:rPr>
  </w:style>
  <w:style w:type="character" w:customStyle="1" w:styleId="8">
    <w:name w:val="font01"/>
    <w:basedOn w:val="4"/>
    <w:qFormat/>
    <w:uiPriority w:val="0"/>
    <w:rPr>
      <w:rFonts w:hint="eastAsia" w:ascii="宋体" w:hAnsi="宋体" w:eastAsia="宋体" w:cs="宋体"/>
      <w:color w:val="000000"/>
      <w:sz w:val="22"/>
      <w:szCs w:val="22"/>
      <w:u w:val="none"/>
    </w:rPr>
  </w:style>
  <w:style w:type="character" w:customStyle="1" w:styleId="9">
    <w:name w:val="font51"/>
    <w:basedOn w:val="4"/>
    <w:qFormat/>
    <w:uiPriority w:val="0"/>
    <w:rPr>
      <w:rFonts w:hint="eastAsia" w:ascii="宋体" w:hAnsi="宋体" w:eastAsia="宋体" w:cs="宋体"/>
      <w:color w:val="000000"/>
      <w:sz w:val="24"/>
      <w:szCs w:val="24"/>
      <w:u w:val="none"/>
    </w:rPr>
  </w:style>
  <w:style w:type="character" w:customStyle="1" w:styleId="10">
    <w:name w:val="font41"/>
    <w:basedOn w:val="4"/>
    <w:qFormat/>
    <w:uiPriority w:val="0"/>
    <w:rPr>
      <w:rFonts w:hint="eastAsia" w:ascii="宋体" w:hAnsi="宋体" w:eastAsia="宋体" w:cs="宋体"/>
      <w:color w:val="000000"/>
      <w:sz w:val="24"/>
      <w:szCs w:val="24"/>
      <w:u w:val="none"/>
    </w:rPr>
  </w:style>
  <w:style w:type="character" w:customStyle="1" w:styleId="11">
    <w:name w:val="font61"/>
    <w:basedOn w:val="4"/>
    <w:qFormat/>
    <w:uiPriority w:val="0"/>
    <w:rPr>
      <w:rFonts w:hint="eastAsia" w:ascii="宋体" w:hAnsi="宋体" w:eastAsia="宋体" w:cs="宋体"/>
      <w:color w:val="000000"/>
      <w:sz w:val="18"/>
      <w:szCs w:val="18"/>
      <w:u w:val="none"/>
    </w:rPr>
  </w:style>
  <w:style w:type="character" w:customStyle="1" w:styleId="12">
    <w:name w:val="font9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6447</Words>
  <Characters>7095</Characters>
  <Lines>0</Lines>
  <Paragraphs>0</Paragraphs>
  <ScaleCrop>false</ScaleCrop>
  <LinksUpToDate>false</LinksUpToDate>
  <CharactersWithSpaces>7468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2023-08-04T01:57:36Z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ICV">
    <vt:lpwstr>95F2635602A34D8E9E6C8BB91639BF38_13</vt:lpwstr>
  </property>
</Properties>
</file>