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u w:val="none"/>
          <w:lang w:eastAsia="zh-CN"/>
        </w:rPr>
        <w:t>三门峡市科技局部门整体自评报告</w:t>
      </w:r>
    </w:p>
    <w:p>
      <w:pPr>
        <w:spacing w:line="600" w:lineRule="exact"/>
        <w:jc w:val="center"/>
        <w:rPr>
          <w:rFonts w:hint="eastAsia" w:ascii="黑体" w:hAnsi="黑体" w:cs="黑体"/>
          <w:b w:val="0"/>
          <w:bCs/>
          <w:color w:val="000000"/>
          <w:sz w:val="30"/>
          <w:szCs w:val="30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u w:val="none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三门峡市科学技术局2021年度年初项目预算161万，涵盖项目5个，实际执行数为158.46万元，预算执行率98.42%。具体项目构成如下：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val="en-US" w:eastAsia="zh-CN"/>
        </w:rPr>
        <w:t>党建及党务管理10万元；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</w:rPr>
        <w:t>科学技术管理与事务经费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val="en-US" w:eastAsia="zh-CN"/>
        </w:rPr>
        <w:t>62万元；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</w:rPr>
        <w:t>科技条件建设与科技服务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eastAsia="zh-CN"/>
        </w:rPr>
        <w:t>经费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val="en-US" w:eastAsia="zh-CN"/>
        </w:rPr>
        <w:t>42万元；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eastAsia="zh-CN"/>
        </w:rPr>
        <w:t>科普活动经费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val="en-US" w:eastAsia="zh-CN"/>
        </w:rPr>
        <w:t>7万元；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宋体" w:eastAsia="仿宋_GB2312" w:cs="仿宋_GB2312"/>
          <w:i w:val="0"/>
          <w:i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</w:rPr>
        <w:t>科技对外交流合作与招商引智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eastAsia="zh-CN"/>
        </w:rPr>
        <w:t>经费</w:t>
      </w:r>
      <w:r>
        <w:rPr>
          <w:rFonts w:hint="eastAsia" w:ascii="仿宋_GB2312" w:hAnsi="宋体" w:eastAsia="仿宋_GB2312" w:cs="仿宋_GB2312"/>
          <w:i w:val="0"/>
          <w:iCs w:val="0"/>
          <w:color w:val="000000"/>
          <w:sz w:val="32"/>
          <w:szCs w:val="32"/>
          <w:u w:val="none"/>
          <w:lang w:val="en-US" w:eastAsia="zh-CN"/>
        </w:rPr>
        <w:t>40万元。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二、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u w:val="none"/>
          <w:lang w:eastAsia="zh-CN"/>
        </w:rPr>
        <w:t>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2021年度，三门峡市科技局认真贯彻落实《预算法》预算绩效管理方面的规定及关于推进预算管理改革各项要求的情况，围绕“预算编制有目标、预算执行有监控、预算完成有评价、评价结果有反馈、反馈结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果有应用”，认真组织开展项目支出绩效自评、部门整体支出绩效自评。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u w:val="none"/>
          <w:lang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市科技局对2021年度预算项目执行情况开展全面自评，涵盖项目5个，涉及预算资金161万元，其中自评等级为优的项目5个，自评等级为良项目0个，自评等级为中项目0个。从评价情况来看，部门整体支出绩效指标设置基本合理,符合全面深化改革要求，能较好体现单位主要职能,符合单位实际和财务管理要求，资金使用审批程序严格，较好的完成年了度绩效目标，产生了良好的社会经济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u w:val="none"/>
          <w:lang w:eastAsia="zh-CN"/>
        </w:rPr>
        <w:t>四、绩效目标实现情况分析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2021年项目资金预算161万元，预算执行率98.42%，资金合理、有效使用，基本完成绩效目标。</w:t>
      </w:r>
    </w:p>
    <w:p>
      <w:pPr>
        <w:numPr>
          <w:ilvl w:val="0"/>
          <w:numId w:val="0"/>
        </w:numPr>
        <w:spacing w:line="600" w:lineRule="exact"/>
        <w:ind w:leftChars="200" w:firstLine="300" w:firstLineChars="1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五、发现的主要问题及改进措施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市科技局项目年初申报预算时，缺少有明确时间节点的工作计划，对项目进度监控有所欠缺。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今后将继续加强预算管理，结合下一年度的重点工作任务和实际需求进行预算编制。预算申报时，部门和项目支出做到细化、量化，提高项目管理科学化,提高管理效率、明确工作内容。加强与其他相关部门的沟通和联动，实时掌握项目动态，通过不断纠偏纠错、总结反馈，建立一套科学、高效的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446AD"/>
    <w:rsid w:val="79B4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2022-03-31T08:56:00Z</dcterms:created>
  <dc:creator>轩 </dc:creator>
  <cp:lastModifiedBy>轩 </cp:lastModifiedBy>
  <dcterms:modified xsi:type="dcterms:W3CDTF">2022-03-31T08:59:20Z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5B6026214EF54277958DB509C6F69318</vt:lpwstr>
  </property>
</Properties>
</file>