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20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21年度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国家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基本药物制度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补助资金绩效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自评报告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现将2021年度国家基本药物制度补助资金的绩效目标实施情况自评报告如下：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一、项目资金落实情况</w:t>
      </w:r>
    </w:p>
    <w:p>
      <w:pPr>
        <w:pStyle w:val="4"/>
        <w:numPr>
          <w:ilvl w:val="0"/>
          <w:numId w:val="0"/>
        </w:numPr>
        <w:ind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2021年度，我市共下达中央政府办基层医疗卫生机构基本药物制度补助资金2370.3万，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完成目标任务100%；</w:t>
      </w:r>
    </w:p>
    <w:p>
      <w:pPr>
        <w:pStyle w:val="4"/>
        <w:numPr>
          <w:ilvl w:val="0"/>
          <w:numId w:val="0"/>
        </w:numPr>
        <w:ind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绩效目标完成情况分析</w:t>
      </w:r>
    </w:p>
    <w:p>
      <w:pPr>
        <w:pStyle w:val="4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资金投入情况分析。</w:t>
      </w:r>
    </w:p>
    <w:p>
      <w:pPr>
        <w:numPr>
          <w:ilvl w:val="0"/>
          <w:numId w:val="2"/>
        </w:numPr>
        <w:ind w:firstLine="800" w:firstLineChars="25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项目资金到位情况分析。</w:t>
      </w: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中央项目资金均已按时拨付至各县（市、区），共拨付资金2370.3万元。</w:t>
      </w:r>
    </w:p>
    <w:p>
      <w:pPr>
        <w:ind w:firstLine="800" w:firstLineChars="25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2.项目资金管理情况分析。</w:t>
      </w:r>
    </w:p>
    <w:p>
      <w:pPr>
        <w:ind w:firstLine="800" w:firstLineChars="25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基药补助资金专款专用，不截留或挪作他用，用于实行药品“零差率”销售补助。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（二）绩效目标完成情况分析。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1.数量指标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政府办基层医疗机构及村卫生室基本药物制度实施率达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政府办基层医疗机构网采率达到100%。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政府办基层医疗卫生机构100%实行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零差率销售，降低了药品价格，群众受益。政府办基层医疗卫生机构处方合格率达到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95%。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实行基本药物制度是医改工作重点工作，逐步降低药品价格，人民群众受益，可持续实施。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满意度指标完成情况分析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政府办基层医疗卫生机构从业人员、乡村医生及群众对实行基本药物制度都很满意。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绩效自评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结果拟应用和公开情况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1、资金管理：规范补助资金管理，按时发放到单位，不截留或挪作他用，自评为：优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2、基药管理：规范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基药采购，全部实行网上采购，定期督导、检查，使基药制度有序进行。自评为：优</w:t>
      </w:r>
    </w:p>
    <w:p>
      <w:pPr>
        <w:tabs>
          <w:tab w:val="left" w:pos="1928"/>
        </w:tabs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tabs>
          <w:tab w:val="left" w:pos="1928"/>
        </w:tabs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tabs>
          <w:tab w:val="left" w:pos="1928"/>
        </w:tabs>
        <w:jc w:val="left"/>
        <w:rPr>
          <w:rFonts w:ascii="仿宋_GB2312" w:hAnsi="仿宋_GB2312" w:eastAsia="仿宋_GB2312" w:cs="Times New Roman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 </w:t>
      </w:r>
    </w:p>
    <w:p>
      <w:pPr>
        <w:tabs>
          <w:tab w:val="left" w:pos="1928"/>
        </w:tabs>
        <w:ind w:firstLine="4800" w:firstLineChars="1500"/>
        <w:jc w:val="left"/>
        <w:rPr>
          <w:rFonts w:ascii="仿宋_GB2312" w:hAnsi="仿宋_GB2312" w:eastAsia="仿宋_GB2312" w:cs="Times New Roman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/>
    <w:p/>
    <w:sectPr>
      <w:pgSz w:w="11906" w:h="16838"/>
      <w:pgMar w:top="1474" w:right="1474" w:bottom="147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Noto Sans CJK SC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仿宋_GB2312">
    <w:altName w:val="Noto Sans CJK SC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SC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EF1F9"/>
    <w:multiLevelType w:val="singleLevel"/>
    <w:tmpl w:val="9FEEF1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99737E9"/>
    <w:multiLevelType w:val="multilevel"/>
    <w:tmpl w:val="299737E9"/>
    <w:lvl w:ilvl="0" w:tentative="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847A1"/>
    <w:rsid w:val="31A847A1"/>
    <w:rsid w:val="425F2343"/>
    <w:rsid w:val="649E253D"/>
    <w:rsid w:val="797E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2021-02-22T17:14:00Z</dcterms:created>
  <dc:creator>恬宝守护者</dc:creator>
  <cp:lastModifiedBy>liuyu</cp:lastModifiedBy>
  <dcterms:modified xsi:type="dcterms:W3CDTF">2022-04-29T07:38:01Z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</Properties>
</file>