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2021年医疗服务与保障能力提升项目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补助资金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根据河南省财政厅、河南省卫生健康委员会《关于下达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2021年医疗服务与保障能力提升》项目实施情况绩效自评工作要求，现对此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项目基本情况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实施及管理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绩效自评开展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目标实现分析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偏离绩效目标原因和改进措施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评价报告如下：</w:t>
      </w:r>
    </w:p>
    <w:p>
      <w:pPr>
        <w:spacing w:line="64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卢氏县人民医院始建于1951年，是一所集医疗、教学、康复、保健、急救和技术指导为一体的二级甲等综合医院。是卢氏县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胸痛中心、</w:t>
      </w:r>
      <w:r>
        <w:rPr>
          <w:rFonts w:hint="eastAsia" w:ascii="仿宋" w:hAnsi="仿宋" w:eastAsia="仿宋" w:cs="仿宋"/>
          <w:sz w:val="32"/>
          <w:szCs w:val="32"/>
        </w:rPr>
        <w:t>卒中中心、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创伤中心、</w:t>
      </w:r>
      <w:r>
        <w:rPr>
          <w:rFonts w:hint="eastAsia" w:ascii="仿宋" w:hAnsi="仿宋" w:eastAsia="仿宋" w:cs="仿宋"/>
          <w:sz w:val="32"/>
          <w:szCs w:val="32"/>
        </w:rPr>
        <w:t>危重孕产妇救治中心、高血压防治中心；是郑大一附院、河南省人民医院、河南省肿瘤医院协作医院；是河南省远程医学中心卢氏分中心、病理远程诊断中心。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医院建筑面积4万平方米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编制床位600张，实际开放床位800张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;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医院现有在岗职工846人，卫生技术人员685人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，其中副高级以上职称52人,中级职称136人,硕士研究生1人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35个临床及医技科室，1个门诊部，其中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骨科、神经内科、产科为三门峡市级重点专科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；2021年通过老年友善医疗机构、PCCM规范化建设国家级评审。</w:t>
      </w:r>
      <w:r>
        <w:rPr>
          <w:rFonts w:hint="eastAsia" w:ascii="仿宋" w:hAnsi="仿宋" w:eastAsia="仿宋" w:cs="仿宋"/>
          <w:sz w:val="32"/>
          <w:szCs w:val="32"/>
        </w:rPr>
        <w:t>拥有1.5T核磁共振、64排128层螺旋CT、美国GE彩超等大中型医疗设备200余台（件）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项目实施主体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：卢氏县人民医院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覆盖地区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：卢氏县域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受益人群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：卢氏县域内所有居民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主要内容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医疗服务与保障能力提升</w:t>
      </w:r>
    </w:p>
    <w:p>
      <w:pPr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（二）项目绩效目标情况。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textAlignment w:val="auto"/>
        <w:rPr>
          <w:rFonts w:hint="default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省财政下达专项支付预算和绩效目标情况：省下达医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疗服务与保障能力提升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补助资金140万元，自筹资金35万元，用于县医院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心内科重症监护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室（CCU）和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急诊重症监护室（EICU）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建设，项目资金共计175万元，项目实施单位：卢氏县人民医院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资金全部到位，到位率达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100%，已全部拨付，拨付率100%。</w:t>
      </w:r>
    </w:p>
    <w:p>
      <w:pPr>
        <w:spacing w:line="64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二、项目实施及管理情况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项目实施后，项目实施管理领导小组将不定期召开项目实施研讨汇报会，组织现场查看，县医院将定期召开专题会议，项目实施负责人听取各参与科室项目进展情况汇报，制定推进项目实施工作措施，压实责任，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格</w:t>
      </w:r>
      <w:r>
        <w:rPr>
          <w:rFonts w:hint="eastAsia" w:ascii="仿宋" w:hAnsi="仿宋" w:eastAsia="仿宋" w:cs="仿宋"/>
          <w:sz w:val="32"/>
          <w:szCs w:val="32"/>
        </w:rPr>
        <w:t>预算和各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</w:t>
      </w:r>
      <w:r>
        <w:rPr>
          <w:rFonts w:hint="eastAsia" w:ascii="仿宋" w:hAnsi="仿宋" w:eastAsia="仿宋" w:cs="仿宋"/>
          <w:sz w:val="32"/>
          <w:szCs w:val="32"/>
        </w:rPr>
        <w:t>申请审批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</w:t>
      </w:r>
      <w:r>
        <w:rPr>
          <w:rFonts w:hint="eastAsia" w:ascii="仿宋" w:hAnsi="仿宋" w:eastAsia="仿宋" w:cs="仿宋"/>
          <w:sz w:val="32"/>
          <w:szCs w:val="32"/>
        </w:rPr>
        <w:t>告，保证项目的顺利实施和有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效推进。</w:t>
      </w:r>
    </w:p>
    <w:p>
      <w:pPr>
        <w:spacing w:line="64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三、项目绩效自评开展情况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项目资金到位情况分析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20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21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年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eastAsia="zh-CN"/>
        </w:rPr>
        <w:t>河南省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下达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eastAsia="zh-CN"/>
        </w:rPr>
        <w:t>支付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医疗服务能力提升补助资金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140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万元，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eastAsia="zh-CN"/>
        </w:rPr>
        <w:t>自筹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35万元，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实际到位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175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万元，资金到位率100%。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项目资金执行情况分析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2021年县医院能力提升项目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总预算投资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心内科重症监护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（CCU）和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急诊重症监护室（EICU）</w:t>
      </w:r>
      <w:r>
        <w:rPr>
          <w:rFonts w:hint="eastAsia" w:ascii="仿宋" w:hAnsi="仿宋" w:eastAsia="仿宋" w:cs="仿宋"/>
          <w:sz w:val="32"/>
          <w:szCs w:val="32"/>
        </w:rPr>
        <w:t>设备购置，超出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预算的</w:t>
      </w:r>
      <w:r>
        <w:rPr>
          <w:rFonts w:hint="eastAsia" w:ascii="仿宋" w:hAnsi="仿宋" w:eastAsia="仿宋" w:cs="仿宋"/>
          <w:sz w:val="32"/>
          <w:szCs w:val="32"/>
        </w:rPr>
        <w:t>资金由医院自筹。分别为：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心肺复苏仪 2台 、全数字超声诊断系统1台 、转运呼吸机1台、有创呼吸机 1台、无创呼吸机1台 、除颤仪2台   心脏临时起搏器1台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医疗服务与保障能力提升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</w:t>
      </w:r>
      <w:r>
        <w:rPr>
          <w:rFonts w:hint="eastAsia" w:ascii="仿宋" w:hAnsi="仿宋" w:eastAsia="仿宋" w:cs="仿宋"/>
          <w:sz w:val="32"/>
          <w:szCs w:val="32"/>
        </w:rPr>
        <w:t>万资金已经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到位，拨付资金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175万元，所需设备正在进行招标。</w:t>
      </w:r>
    </w:p>
    <w:p>
      <w:pPr>
        <w:spacing w:line="64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黑体" w:cs="Times New Roman"/>
          <w:sz w:val="32"/>
          <w:szCs w:val="32"/>
        </w:rPr>
        <w:t>项目目标实现情况分析</w:t>
      </w:r>
    </w:p>
    <w:p>
      <w:pPr>
        <w:spacing w:line="64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</w:rPr>
        <w:t>（一）总体绩效目标完成情况分析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80" w:lineRule="atLeas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胸痛、卒中、创伤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三大中心建设如期完成，急危重症病人救治能力明显提高，诊疗模式向内科介入化，外科腔镜化进一步转变，救治流程进一步优化，服务能力技术水平，得到明显提高，满足广大患者就医需求。</w:t>
      </w:r>
    </w:p>
    <w:p>
      <w:pPr>
        <w:spacing w:line="640" w:lineRule="exact"/>
        <w:ind w:firstLine="320" w:firstLineChars="1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</w:rPr>
        <w:t>（二）绩效指标完成情况分析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80" w:lineRule="atLeast"/>
        <w:ind w:firstLine="640" w:firstLineChars="200"/>
        <w:jc w:val="both"/>
        <w:textAlignment w:val="auto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楷体_GB2312" w:cs="Times New Roman"/>
          <w:sz w:val="32"/>
          <w:szCs w:val="32"/>
        </w:rPr>
        <w:t>产出分析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80" w:lineRule="atLeas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通过使用项目资金完善</w:t>
      </w:r>
      <w:r>
        <w:rPr>
          <w:rFonts w:hint="eastAsia" w:ascii="仿宋" w:hAnsi="仿宋" w:eastAsia="仿宋" w:cs="仿宋"/>
          <w:sz w:val="32"/>
          <w:szCs w:val="32"/>
        </w:rPr>
        <w:t>两个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重症监护室</w:t>
      </w:r>
      <w:r>
        <w:rPr>
          <w:rFonts w:hint="eastAsia" w:ascii="仿宋" w:hAnsi="仿宋" w:eastAsia="仿宋" w:cs="仿宋"/>
          <w:sz w:val="32"/>
          <w:szCs w:val="32"/>
        </w:rPr>
        <w:t>专科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设备建设,加强了专业人才培训,提高了技术水平和服务能力,降低了县内心血管病重症.急诊危重症患者外转率,增加了群众在县内就医的获得感,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仿宋"/>
          <w:sz w:val="32"/>
          <w:szCs w:val="32"/>
        </w:rPr>
        <w:t>的就医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得到进一步满足,有效遏制了”因病致贫,因病返贫”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200" w:line="580" w:lineRule="atLeast"/>
        <w:ind w:left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有效性分析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200" w:line="580" w:lineRule="atLeast"/>
        <w:ind w:leftChars="20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心内科重症监护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室（CCU）主要收治胸痛及心脏重症患者，所购设备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适用于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自主呼吸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、气管插管或气管切开术后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患者，通过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参数、模式调节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，精确进行有效的呼吸治疗。适用于需要辅助呼吸治疗的、需实行气道保护策略的、需要支气管净化治疗的患者。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有创、无创呼吸机</w:t>
      </w:r>
      <w:r>
        <w:rPr>
          <w:rFonts w:hint="eastAsia" w:ascii="仿宋" w:hAnsi="仿宋" w:eastAsia="仿宋" w:cs="仿宋"/>
          <w:sz w:val="32"/>
          <w:szCs w:val="32"/>
        </w:rPr>
        <w:t>主要用于：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急性心衰伴</w:t>
      </w:r>
      <w:r>
        <w:rPr>
          <w:rFonts w:hint="eastAsia" w:ascii="仿宋" w:hAnsi="仿宋" w:eastAsia="仿宋" w:cs="仿宋"/>
          <w:sz w:val="32"/>
          <w:szCs w:val="32"/>
        </w:rPr>
        <w:t>低氧性呼吸衰竭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气管插管、气管切开术后呼吸支持，</w:t>
      </w:r>
      <w:r>
        <w:rPr>
          <w:rFonts w:hint="eastAsia" w:ascii="仿宋" w:hAnsi="仿宋" w:eastAsia="仿宋" w:cs="仿宋"/>
          <w:sz w:val="32"/>
          <w:szCs w:val="32"/>
        </w:rPr>
        <w:t>这类疾病血氧饱和度低下，普通吸氧不足以维持重要器官功能，需使用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无创呼吸机</w:t>
      </w:r>
      <w:r>
        <w:rPr>
          <w:rFonts w:hint="eastAsia" w:ascii="仿宋" w:hAnsi="仿宋" w:eastAsia="仿宋" w:cs="仿宋"/>
          <w:sz w:val="32"/>
          <w:szCs w:val="32"/>
        </w:rPr>
        <w:t>吸氧，提高血氧饱和度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部分慢性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心力衰竭伴</w:t>
      </w:r>
      <w:r>
        <w:rPr>
          <w:rFonts w:hint="eastAsia" w:ascii="仿宋" w:hAnsi="仿宋" w:eastAsia="仿宋" w:cs="仿宋"/>
          <w:sz w:val="32"/>
          <w:szCs w:val="32"/>
        </w:rPr>
        <w:t>呼吸衰竭者，使用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呼吸机</w:t>
      </w:r>
      <w:r>
        <w:rPr>
          <w:rFonts w:hint="eastAsia" w:ascii="仿宋" w:hAnsi="仿宋" w:eastAsia="仿宋" w:cs="仿宋"/>
          <w:sz w:val="32"/>
          <w:szCs w:val="32"/>
        </w:rPr>
        <w:t>，不仅可提升血氧，还可以加强气道湿化，防止痰液粘稠结痂，堵塞气道，引起窒息可能性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对于无创通气面罩不耐受问题。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除颤仪主要使用于：心脏猝死的急救时间窗仅为10分钟，每延时1分钟生存率下降约10%，预后也会随时间延长而恶化。除颤仪使用时机难以预测，一旦发生心脏猝死必须确保即刻能用，因此，对除颤仪等质量、稳定性、放电速度、心律失常分析精度等性能要求很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急诊重症监护室（EICU）主要收治急危重症患者，所设备适用于危重患者的生命支持和检查：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心肺复苏机：相比较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传统徒手按压的方式抢救危重患者，心肺复苏机在按压力度的掌控、以及按压频率的快慢控制、对抢救危重病人的成功率大大提高，挽救了生命边缘的广大患者。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全数字超声诊断系统：</w:t>
      </w:r>
      <w:r>
        <w:rPr>
          <w:rFonts w:hint="eastAsia" w:ascii="仿宋" w:hAnsi="仿宋" w:eastAsia="仿宋" w:cs="仿宋"/>
          <w:sz w:val="32"/>
          <w:szCs w:val="32"/>
        </w:rPr>
        <w:t>超声可视化技术在急重症临床应用价值（快速评估、操作引导、治疗监测）不断提高。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200" w:line="580" w:lineRule="atLeast"/>
        <w:ind w:firstLine="640" w:firstLineChars="200"/>
        <w:jc w:val="left"/>
        <w:textAlignment w:val="auto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vertAlign w:val="baseline"/>
          <w:lang w:val="en-US" w:eastAsia="zh-CN"/>
        </w:rPr>
        <w:t>电动电控转运呼吸机：电动电控转运呼吸机不需要携带氧气瓶作为动力，且能调整氧气浓度，使用时间更长，使120出诊半径大，更好满足县域内转运病人需求。</w:t>
      </w:r>
    </w:p>
    <w:p>
      <w:pPr>
        <w:numPr>
          <w:ilvl w:val="0"/>
          <w:numId w:val="0"/>
        </w:numPr>
        <w:spacing w:line="640" w:lineRule="exact"/>
        <w:ind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楷体_GB2312" w:cs="Times New Roman"/>
          <w:sz w:val="32"/>
          <w:szCs w:val="32"/>
        </w:rPr>
        <w:t>社会性分析。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降低患者就诊的外转率，满足患者就医需求。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80" w:lineRule="atLeast"/>
        <w:ind w:left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所购设备明细清单：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心肺复苏仪             2台                    40万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全数字超声诊断系统     1台                    30万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转运呼吸机             1台                    25万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有创呼吸机             1台                    30万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无创呼吸机             1台                    30万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除颤仪                 2台                    10万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spacing w:line="440" w:lineRule="exact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心脏临时起搏器        1台                    10万</w:t>
      </w:r>
    </w:p>
    <w:p>
      <w:pPr>
        <w:widowControl w:val="0"/>
        <w:adjustRightInd/>
        <w:snapToGrid/>
        <w:spacing w:after="0"/>
        <w:ind w:firstLine="48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宋体" w:cs="宋体"/>
          <w:kern w:val="0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仿宋_GB2312" w:hAnsi="宋体" w:eastAsia="宋体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共计：175万元</w:t>
      </w:r>
    </w:p>
    <w:p>
      <w:pPr>
        <w:numPr>
          <w:ilvl w:val="0"/>
          <w:numId w:val="0"/>
        </w:numPr>
        <w:ind w:left="420" w:leftChars="0"/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偏离绩效目标原因和下一步改进措施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：</w:t>
      </w:r>
    </w:p>
    <w:p>
      <w:pPr>
        <w:pStyle w:val="2"/>
        <w:numPr>
          <w:ilvl w:val="0"/>
          <w:numId w:val="0"/>
        </w:numPr>
        <w:ind w:left="420" w:leftChars="0" w:right="0" w:rightChars="0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偏离绩效目标原因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12月9日接到卢氏县财政局下发《关于下达2021年医疗服务与保障能力提升补助资金预算的通知》文件后，医院立即召开会议，讨论实施计划，但由于疫情防控工作，我们承担核酸检测任务较大，导致项目推进缓慢，目前设备购置进行到招标环节。下一步我们倒排工期，加快项目推进进度，力增保质保量完成该项目，使项目发挥最大效益。</w:t>
      </w:r>
    </w:p>
    <w:p>
      <w:pPr>
        <w:widowControl w:val="0"/>
        <w:adjustRightInd/>
        <w:snapToGrid/>
        <w:spacing w:after="0"/>
        <w:ind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加大人才培养</w:t>
      </w:r>
    </w:p>
    <w:p>
      <w:pPr>
        <w:widowControl w:val="0"/>
        <w:adjustRightInd/>
        <w:snapToGrid/>
        <w:spacing w:after="0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根据人才培训计划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和结对帮扶机遇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需求定期</w:t>
      </w:r>
      <w:r>
        <w:rPr>
          <w:rFonts w:hint="eastAsia" w:ascii="仿宋" w:hAnsi="仿宋" w:eastAsia="仿宋" w:cs="仿宋"/>
          <w:sz w:val="32"/>
          <w:szCs w:val="32"/>
        </w:rPr>
        <w:t>派出基础扎实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敬业的年轻医护人员到省内三甲医院进修学习，采取长期进修与短期培训相结合方式培养人才。同时利用远程会诊系统、互联智慧分级治疗模式指导疑难病诊治，并聘请上级医院专家到我科长期坐诊手术。</w:t>
      </w:r>
    </w:p>
    <w:p>
      <w:pPr>
        <w:widowControl w:val="0"/>
        <w:adjustRightInd/>
        <w:snapToGrid/>
        <w:spacing w:after="0"/>
        <w:ind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进一步规范诊疗行为</w:t>
      </w:r>
    </w:p>
    <w:p>
      <w:pPr>
        <w:widowControl w:val="0"/>
        <w:adjustRightInd/>
        <w:snapToGrid/>
        <w:spacing w:after="0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全面落实各项医疗核心制度，使得临床疾病诊疗进一步规范化、程序化。形成创新型技术团队，建立高效、合理的人才队伍。</w:t>
      </w:r>
    </w:p>
    <w:p>
      <w:pPr>
        <w:ind w:firstLine="482" w:firstLineChars="150"/>
        <w:rPr>
          <w:rFonts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、项目建设预期目标</w:t>
      </w:r>
    </w:p>
    <w:p>
      <w:pPr>
        <w:widowControl w:val="0"/>
        <w:adjustRightInd/>
        <w:snapToGrid/>
        <w:spacing w:after="0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进一步优化</w:t>
      </w:r>
      <w:r>
        <w:rPr>
          <w:rFonts w:hint="eastAsia" w:ascii="仿宋" w:hAnsi="仿宋" w:eastAsia="仿宋" w:cs="仿宋"/>
          <w:sz w:val="32"/>
          <w:szCs w:val="32"/>
        </w:rPr>
        <w:t>医院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</w:t>
      </w:r>
      <w:r>
        <w:rPr>
          <w:rFonts w:hint="eastAsia" w:ascii="仿宋" w:hAnsi="仿宋" w:eastAsia="仿宋" w:cs="仿宋"/>
          <w:sz w:val="32"/>
          <w:szCs w:val="32"/>
        </w:rPr>
        <w:t>流程，二是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</w:t>
      </w:r>
      <w:r>
        <w:rPr>
          <w:rFonts w:hint="eastAsia" w:ascii="仿宋" w:hAnsi="仿宋" w:eastAsia="仿宋" w:cs="仿宋"/>
          <w:sz w:val="32"/>
          <w:szCs w:val="32"/>
        </w:rPr>
        <w:t>医疗质量，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提升医疗技术水平，</w:t>
      </w:r>
      <w:r>
        <w:rPr>
          <w:rFonts w:hint="eastAsia" w:ascii="仿宋" w:hAnsi="仿宋" w:eastAsia="仿宋" w:cs="仿宋"/>
          <w:sz w:val="32"/>
          <w:szCs w:val="32"/>
        </w:rPr>
        <w:t>促进临床治疗的合理性和安全性，保障医疗安全；三是加强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新业务新技术的开展，降低患者就诊的外转率，满足患者就医需求。</w:t>
      </w:r>
      <w:bookmarkStart w:id="0" w:name="_GoBack"/>
      <w:bookmarkEnd w:id="0"/>
    </w:p>
    <w:p>
      <w:pPr>
        <w:spacing w:line="220" w:lineRule="atLeas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220" w:lineRule="atLeast"/>
        <w:ind w:firstLine="5700" w:firstLineChars="1900"/>
        <w:rPr>
          <w:rFonts w:hint="eastAsia" w:asciiTheme="minorEastAsia" w:hAnsiTheme="minorEastAsia" w:eastAsia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 xml:space="preserve">                                  </w:t>
      </w:r>
    </w:p>
    <w:p>
      <w:pPr>
        <w:spacing w:line="220" w:lineRule="atLeast"/>
        <w:rPr>
          <w:rFonts w:hint="eastAsia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 xml:space="preserve">                               </w:t>
      </w:r>
      <w:r>
        <w:rPr>
          <w:rFonts w:hint="eastAsia" w:asciiTheme="minorEastAsia" w:hAnsiTheme="minorEastAsia" w:eastAsiaTheme="minorEastAsia"/>
          <w:sz w:val="30"/>
          <w:szCs w:val="30"/>
          <w:lang w:val="en-US" w:eastAsia="zh-CN"/>
        </w:rPr>
        <w:t xml:space="preserve">  </w:t>
      </w:r>
    </w:p>
    <w:p>
      <w:pPr>
        <w:spacing w:line="220" w:lineRule="atLeast"/>
        <w:ind w:firstLine="5760" w:firstLineChars="18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卢氏县人民医院 </w:t>
      </w:r>
    </w:p>
    <w:p>
      <w:pPr>
        <w:spacing w:line="220" w:lineRule="atLeas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pStyle w:val="2"/>
        <w:ind w:left="5760" w:leftChars="0" w:hanging="5760" w:hangingChars="18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32C6B"/>
    <w:rsid w:val="00037D9D"/>
    <w:rsid w:val="0004323F"/>
    <w:rsid w:val="00081C22"/>
    <w:rsid w:val="0011585D"/>
    <w:rsid w:val="00130EC1"/>
    <w:rsid w:val="001536D1"/>
    <w:rsid w:val="00213957"/>
    <w:rsid w:val="002212A0"/>
    <w:rsid w:val="0022225C"/>
    <w:rsid w:val="002262F0"/>
    <w:rsid w:val="002A2A88"/>
    <w:rsid w:val="00323B43"/>
    <w:rsid w:val="0032683E"/>
    <w:rsid w:val="00332DBD"/>
    <w:rsid w:val="003377EC"/>
    <w:rsid w:val="00357D87"/>
    <w:rsid w:val="003A4BA6"/>
    <w:rsid w:val="003C26CC"/>
    <w:rsid w:val="003D37D8"/>
    <w:rsid w:val="00426133"/>
    <w:rsid w:val="004358AB"/>
    <w:rsid w:val="00490B45"/>
    <w:rsid w:val="004A1735"/>
    <w:rsid w:val="004C5945"/>
    <w:rsid w:val="0054582A"/>
    <w:rsid w:val="005C5CF7"/>
    <w:rsid w:val="00642BDF"/>
    <w:rsid w:val="006523E7"/>
    <w:rsid w:val="00663B23"/>
    <w:rsid w:val="00670147"/>
    <w:rsid w:val="00677DFF"/>
    <w:rsid w:val="00682433"/>
    <w:rsid w:val="00682CFD"/>
    <w:rsid w:val="006F699E"/>
    <w:rsid w:val="00797E74"/>
    <w:rsid w:val="007F19A1"/>
    <w:rsid w:val="00834118"/>
    <w:rsid w:val="00857E8C"/>
    <w:rsid w:val="00877EDC"/>
    <w:rsid w:val="00880C7A"/>
    <w:rsid w:val="00883A10"/>
    <w:rsid w:val="008840C3"/>
    <w:rsid w:val="00884444"/>
    <w:rsid w:val="008B7726"/>
    <w:rsid w:val="008E12AD"/>
    <w:rsid w:val="00967783"/>
    <w:rsid w:val="009834A6"/>
    <w:rsid w:val="009A32D8"/>
    <w:rsid w:val="009B5AD8"/>
    <w:rsid w:val="009D6634"/>
    <w:rsid w:val="00A213EB"/>
    <w:rsid w:val="00A25627"/>
    <w:rsid w:val="00AD0DEB"/>
    <w:rsid w:val="00B1687B"/>
    <w:rsid w:val="00B26C61"/>
    <w:rsid w:val="00B43A6F"/>
    <w:rsid w:val="00B57B0C"/>
    <w:rsid w:val="00BA519E"/>
    <w:rsid w:val="00BC36AB"/>
    <w:rsid w:val="00C0120A"/>
    <w:rsid w:val="00C07A9D"/>
    <w:rsid w:val="00C1255D"/>
    <w:rsid w:val="00C721C9"/>
    <w:rsid w:val="00CC4313"/>
    <w:rsid w:val="00CF38C6"/>
    <w:rsid w:val="00D061E0"/>
    <w:rsid w:val="00D31D50"/>
    <w:rsid w:val="00D54BCB"/>
    <w:rsid w:val="00D76C05"/>
    <w:rsid w:val="00DE0707"/>
    <w:rsid w:val="00E22289"/>
    <w:rsid w:val="00E55A80"/>
    <w:rsid w:val="00F62EAA"/>
    <w:rsid w:val="029512D0"/>
    <w:rsid w:val="03687259"/>
    <w:rsid w:val="03972F57"/>
    <w:rsid w:val="06CB056A"/>
    <w:rsid w:val="08380636"/>
    <w:rsid w:val="09C972E2"/>
    <w:rsid w:val="0CF34829"/>
    <w:rsid w:val="106E7AEA"/>
    <w:rsid w:val="137C77F1"/>
    <w:rsid w:val="163339B9"/>
    <w:rsid w:val="1647460C"/>
    <w:rsid w:val="1A8E682D"/>
    <w:rsid w:val="1AF76A9B"/>
    <w:rsid w:val="1B355A6D"/>
    <w:rsid w:val="209B0F69"/>
    <w:rsid w:val="21F64786"/>
    <w:rsid w:val="26691F90"/>
    <w:rsid w:val="27776532"/>
    <w:rsid w:val="29AC0433"/>
    <w:rsid w:val="29B9621E"/>
    <w:rsid w:val="2C0F2DD1"/>
    <w:rsid w:val="2DB96BC7"/>
    <w:rsid w:val="2FC317CC"/>
    <w:rsid w:val="31580526"/>
    <w:rsid w:val="39A33009"/>
    <w:rsid w:val="3DB605EE"/>
    <w:rsid w:val="408557B3"/>
    <w:rsid w:val="43175AE3"/>
    <w:rsid w:val="44B47C87"/>
    <w:rsid w:val="462C2E35"/>
    <w:rsid w:val="49401CB8"/>
    <w:rsid w:val="4AA609CF"/>
    <w:rsid w:val="4CCA66B6"/>
    <w:rsid w:val="4EC452A7"/>
    <w:rsid w:val="4F674FDE"/>
    <w:rsid w:val="50C27AF7"/>
    <w:rsid w:val="53B17F10"/>
    <w:rsid w:val="55615BFF"/>
    <w:rsid w:val="568C0DAC"/>
    <w:rsid w:val="576F041C"/>
    <w:rsid w:val="5B5E14FD"/>
    <w:rsid w:val="5C6B66BC"/>
    <w:rsid w:val="5DBD6624"/>
    <w:rsid w:val="66581BF5"/>
    <w:rsid w:val="69BC5B5D"/>
    <w:rsid w:val="6AF73957"/>
    <w:rsid w:val="6B661CE3"/>
    <w:rsid w:val="6B9D24AB"/>
    <w:rsid w:val="6BDC6929"/>
    <w:rsid w:val="6BEB1F3B"/>
    <w:rsid w:val="6D6A6593"/>
    <w:rsid w:val="6F737091"/>
    <w:rsid w:val="713B70B8"/>
    <w:rsid w:val="744908B0"/>
    <w:rsid w:val="74BA0550"/>
    <w:rsid w:val="75A80813"/>
    <w:rsid w:val="79517A78"/>
    <w:rsid w:val="7ABE5930"/>
    <w:rsid w:val="7FDB2E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420" w:leftChars="20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/>
    </w:rPr>
  </w:style>
  <w:style w:type="paragraph" w:styleId="3">
    <w:name w:val="Body Text Indent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9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343</Words>
  <Characters>1957</Characters>
  <Lines>16</Lines>
  <Paragraphs>4</Paragraphs>
  <TotalTime>11</TotalTime>
  <ScaleCrop>false</ScaleCrop>
  <LinksUpToDate>false</LinksUpToDate>
  <CharactersWithSpaces>2296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Administrator.USER-20190817NR</dc:creator>
  <cp:lastModifiedBy>刘东燕</cp:lastModifiedBy>
  <cp:lastPrinted>2019-12-31T01:42:00Z</cp:lastPrinted>
  <dcterms:modified xsi:type="dcterms:W3CDTF">2022-03-10T08:57:53Z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315C3C18E60440EABCDFF5B3B957532C</vt:lpwstr>
  </property>
</Properties>
</file>