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adjustRightInd w:val="0"/>
        <w:snapToGrid w:val="0"/>
        <w:spacing w:after="0" w:line="600" w:lineRule="exact"/>
        <w:jc w:val="center"/>
        <w:rPr>
          <w:rFonts w:ascii="宋体" w:hAnsi="宋体" w:cs="宋体"/>
          <w:b/>
          <w:bCs/>
          <w:sz w:val="44"/>
          <w:szCs w:val="44"/>
        </w:rPr>
      </w:pPr>
      <w:r>
        <w:rPr>
          <w:rFonts w:hint="eastAsia" w:ascii="宋体" w:hAnsi="宋体" w:cs="宋体"/>
          <w:b/>
          <w:bCs/>
          <w:sz w:val="44"/>
          <w:szCs w:val="44"/>
        </w:rPr>
        <w:t>三门峡市职业病防治项目转移支付</w:t>
      </w:r>
    </w:p>
    <w:p>
      <w:pPr>
        <w:pStyle w:val="22"/>
        <w:adjustRightInd w:val="0"/>
        <w:snapToGrid w:val="0"/>
        <w:spacing w:after="0" w:line="600" w:lineRule="exact"/>
        <w:jc w:val="center"/>
        <w:rPr>
          <w:rFonts w:hint="eastAsia" w:ascii="宋体" w:hAnsi="宋体" w:cs="宋体"/>
          <w:b/>
          <w:bCs/>
          <w:sz w:val="44"/>
          <w:szCs w:val="44"/>
        </w:rPr>
      </w:pPr>
      <w:r>
        <w:rPr>
          <w:rFonts w:hint="eastAsia" w:ascii="宋体" w:hAnsi="宋体" w:cs="宋体"/>
          <w:b/>
          <w:bCs/>
          <w:sz w:val="44"/>
          <w:szCs w:val="44"/>
        </w:rPr>
        <w:t>2021年度绩效自评报告</w:t>
      </w:r>
    </w:p>
    <w:p>
      <w:pPr>
        <w:pStyle w:val="22"/>
        <w:adjustRightInd w:val="0"/>
        <w:snapToGrid w:val="0"/>
        <w:spacing w:after="0" w:line="600" w:lineRule="exact"/>
        <w:jc w:val="center"/>
        <w:rPr>
          <w:rFonts w:hint="eastAsia" w:ascii="宋体" w:hAnsi="宋体" w:cs="宋体"/>
          <w:b/>
          <w:bCs/>
          <w:sz w:val="32"/>
          <w:szCs w:val="32"/>
        </w:rPr>
      </w:pPr>
    </w:p>
    <w:p>
      <w:pPr>
        <w:spacing w:line="580" w:lineRule="exact"/>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color w:val="000000"/>
          <w:sz w:val="32"/>
          <w:szCs w:val="32"/>
        </w:rPr>
        <w:t>按照《</w:t>
      </w:r>
      <w:r>
        <w:rPr>
          <w:rFonts w:hint="eastAsia" w:ascii="仿宋_GB2312" w:hAnsi="仿宋_GB2312" w:eastAsia="仿宋_GB2312" w:cs="仿宋_GB2312"/>
          <w:sz w:val="32"/>
          <w:szCs w:val="32"/>
        </w:rPr>
        <w:t>河南省卫生健康委</w:t>
      </w:r>
      <w:r>
        <w:rPr>
          <w:rFonts w:hint="eastAsia" w:ascii="仿宋_GB2312" w:hAnsi="仿宋_GB2312" w:eastAsia="仿宋_GB2312" w:cs="仿宋_GB2312"/>
          <w:color w:val="000000"/>
          <w:sz w:val="32"/>
          <w:szCs w:val="32"/>
        </w:rPr>
        <w:t>关于</w:t>
      </w:r>
      <w:r>
        <w:rPr>
          <w:rFonts w:hint="eastAsia" w:ascii="仿宋_GB2312" w:hAnsi="仿宋_GB2312" w:eastAsia="仿宋_GB2312" w:cs="仿宋_GB2312"/>
          <w:color w:val="000000"/>
          <w:sz w:val="32"/>
          <w:szCs w:val="32"/>
          <w:lang w:eastAsia="zh-CN"/>
        </w:rPr>
        <w:t>开展</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年度中央对我省</w:t>
      </w:r>
      <w:r>
        <w:rPr>
          <w:rFonts w:hint="eastAsia" w:ascii="仿宋_GB2312" w:hAnsi="仿宋_GB2312" w:eastAsia="仿宋_GB2312" w:cs="仿宋_GB2312"/>
          <w:color w:val="000000"/>
          <w:sz w:val="32"/>
          <w:szCs w:val="32"/>
          <w:lang w:eastAsia="zh-CN"/>
        </w:rPr>
        <w:t>转移支付职业健康相关项目</w:t>
      </w:r>
      <w:r>
        <w:rPr>
          <w:rFonts w:hint="eastAsia" w:ascii="仿宋_GB2312" w:hAnsi="仿宋_GB2312" w:eastAsia="仿宋_GB2312" w:cs="仿宋_GB2312"/>
          <w:color w:val="000000"/>
          <w:sz w:val="32"/>
          <w:szCs w:val="32"/>
        </w:rPr>
        <w:t>绩效评价工作的通知》要求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对全市</w:t>
      </w:r>
      <w:r>
        <w:rPr>
          <w:rFonts w:hint="eastAsia" w:ascii="仿宋_GB2312" w:hAnsi="仿宋_GB2312" w:eastAsia="仿宋_GB2312" w:cs="仿宋_GB2312"/>
          <w:sz w:val="32"/>
          <w:szCs w:val="32"/>
          <w:lang w:val="en-US" w:eastAsia="zh-CN"/>
        </w:rPr>
        <w:t>2021年度</w:t>
      </w:r>
      <w:r>
        <w:rPr>
          <w:rFonts w:hint="eastAsia" w:ascii="仿宋_GB2312" w:hAnsi="仿宋_GB2312" w:eastAsia="仿宋_GB2312" w:cs="仿宋_GB2312"/>
          <w:sz w:val="32"/>
          <w:szCs w:val="32"/>
          <w:lang w:eastAsia="zh-CN"/>
        </w:rPr>
        <w:t>职业病防治项目</w:t>
      </w:r>
      <w:r>
        <w:rPr>
          <w:rFonts w:hint="eastAsia" w:ascii="仿宋_GB2312" w:hAnsi="仿宋_GB2312" w:eastAsia="仿宋_GB2312" w:cs="仿宋_GB2312"/>
          <w:sz w:val="32"/>
          <w:szCs w:val="32"/>
        </w:rPr>
        <w:t>的绩效目标实施情况进行了自评，有关情况如下：</w:t>
      </w:r>
    </w:p>
    <w:p>
      <w:pPr>
        <w:pStyle w:val="3"/>
        <w:numPr>
          <w:ilvl w:val="0"/>
          <w:numId w:val="0"/>
        </w:numPr>
        <w:bidi w:val="0"/>
        <w:ind w:firstLine="640" w:firstLineChars="200"/>
        <w:rPr>
          <w:rFonts w:hint="eastAsia" w:ascii="黑体" w:hAnsi="黑体" w:eastAsia="黑体" w:cs="黑体"/>
          <w:sz w:val="32"/>
          <w:szCs w:val="32"/>
        </w:rPr>
      </w:pPr>
      <w:bookmarkStart w:id="18" w:name="_GoBack"/>
      <w:bookmarkStart w:id="0" w:name="_Toc9346"/>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绩效目标分解下达情况</w:t>
      </w:r>
      <w:bookmarkEnd w:id="18"/>
      <w:bookmarkEnd w:id="0"/>
    </w:p>
    <w:p>
      <w:pPr>
        <w:pStyle w:val="4"/>
        <w:bidi w:val="0"/>
        <w:ind w:firstLine="640" w:firstLineChars="200"/>
        <w:rPr>
          <w:rFonts w:hint="eastAsia" w:ascii="仿宋_GB2312" w:hAnsi="仿宋_GB2312" w:eastAsia="仿宋_GB2312" w:cs="仿宋_GB2312"/>
          <w:sz w:val="32"/>
          <w:szCs w:val="32"/>
        </w:rPr>
      </w:pPr>
      <w:bookmarkStart w:id="1" w:name="_Toc20121"/>
      <w:r>
        <w:rPr>
          <w:rStyle w:val="13"/>
          <w:rFonts w:hint="default" w:ascii="仿宋_GB2312" w:hAnsi="仿宋_GB2312" w:eastAsia="仿宋_GB2312" w:cs="仿宋_GB2312"/>
          <w:b/>
          <w:bCs/>
          <w:sz w:val="32"/>
          <w:szCs w:val="32"/>
          <w:lang w:eastAsia="zh-CN"/>
        </w:rPr>
        <w:t>（一）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下达本辖区专项转移支付预算和绩效目标情况</w:t>
      </w:r>
      <w:bookmarkEnd w:id="1"/>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2021年度中央共下达三门峡市职业病防治项目经费共241万元。下达年度总体绩效目标如下：</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职业病常规监测个案报告15000例；</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职业性尘肺病主动监测400人；</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职业性尘肺病筛查；</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职业性尘肺病患者随访</w:t>
      </w:r>
      <w:r>
        <w:rPr>
          <w:rFonts w:hint="eastAsia" w:ascii="仿宋_GB2312" w:hAnsi="仿宋_GB2312" w:eastAsia="仿宋_GB2312" w:cs="仿宋_GB2312"/>
          <w:sz w:val="32"/>
          <w:szCs w:val="32"/>
          <w:lang w:val="en-US" w:eastAsia="zh-CN"/>
        </w:rPr>
        <w:t>1834</w:t>
      </w:r>
      <w:r>
        <w:rPr>
          <w:rFonts w:hint="eastAsia" w:ascii="仿宋_GB2312" w:hAnsi="仿宋_GB2312" w:eastAsia="仿宋_GB2312" w:cs="仿宋_GB2312"/>
          <w:sz w:val="32"/>
          <w:szCs w:val="32"/>
        </w:rPr>
        <w:t>人；</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职业病患者死亡情况及职业性肿瘤监测；</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工作场所职业病危害因素监测130家；</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医疗卫生机构医用辐射防护监测4家；</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非医疗机构放射性危害因素监测33家；</w:t>
      </w:r>
    </w:p>
    <w:p>
      <w:pPr>
        <w:numPr>
          <w:ilvl w:val="0"/>
          <w:numId w:val="1"/>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职业性放射性疾病监测。</w:t>
      </w:r>
    </w:p>
    <w:p>
      <w:pPr>
        <w:pStyle w:val="4"/>
        <w:bidi w:val="0"/>
        <w:ind w:firstLine="640" w:firstLineChars="200"/>
        <w:rPr>
          <w:rFonts w:hint="eastAsia" w:ascii="仿宋_GB2312" w:hAnsi="仿宋_GB2312" w:eastAsia="仿宋_GB2312" w:cs="仿宋_GB2312"/>
          <w:sz w:val="32"/>
          <w:szCs w:val="32"/>
        </w:rPr>
      </w:pPr>
      <w:bookmarkStart w:id="2" w:name="_Toc31038"/>
      <w:r>
        <w:rPr>
          <w:rFonts w:hint="default"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市级分解下达预算和绩效目标情况：</w:t>
      </w:r>
      <w:bookmarkEnd w:id="2"/>
    </w:p>
    <w:p>
      <w:pPr>
        <w:ind w:firstLine="640" w:firstLineChars="200"/>
        <w:outlineLvl w:val="2"/>
        <w:rPr>
          <w:rFonts w:hint="eastAsia" w:ascii="仿宋_GB2312" w:hAnsi="仿宋_GB2312" w:eastAsia="仿宋_GB2312" w:cs="仿宋_GB2312"/>
          <w:sz w:val="32"/>
          <w:szCs w:val="32"/>
        </w:rPr>
      </w:pPr>
      <w:bookmarkStart w:id="3" w:name="_Toc32581"/>
      <w:r>
        <w:rPr>
          <w:rFonts w:hint="eastAsia" w:ascii="仿宋_GB2312" w:hAnsi="仿宋_GB2312" w:eastAsia="仿宋_GB2312" w:cs="仿宋_GB2312"/>
          <w:sz w:val="32"/>
          <w:szCs w:val="32"/>
        </w:rPr>
        <w:t>（1）市级分解下达预算情况</w:t>
      </w:r>
      <w:bookmarkEnd w:id="3"/>
    </w:p>
    <w:p>
      <w:pPr>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卢氏县疾控中心经费10万元由省财政直接拨付，其他各县（市、区）疾控中心、义煤集团总医院、灵宝市城南医院、义煤集团石壕煤矿医院、义煤集团天新医院经费，由市疾控中心根据所承担项目任务工作量，将经费进行了分配，列表如下。</w:t>
      </w:r>
    </w:p>
    <w:tbl>
      <w:tblPr>
        <w:tblStyle w:val="9"/>
        <w:tblW w:w="10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938"/>
        <w:gridCol w:w="662"/>
        <w:gridCol w:w="838"/>
        <w:gridCol w:w="1151"/>
        <w:gridCol w:w="1020"/>
        <w:gridCol w:w="780"/>
        <w:gridCol w:w="825"/>
        <w:gridCol w:w="840"/>
        <w:gridCol w:w="765"/>
        <w:gridCol w:w="990"/>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单  位</w:t>
            </w:r>
          </w:p>
        </w:tc>
        <w:tc>
          <w:tcPr>
            <w:tcW w:w="9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业务培训及质量控制</w:t>
            </w:r>
          </w:p>
        </w:tc>
        <w:tc>
          <w:tcPr>
            <w:tcW w:w="662"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职业病</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主动检测</w:t>
            </w:r>
          </w:p>
        </w:tc>
        <w:tc>
          <w:tcPr>
            <w:tcW w:w="8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尘肺病</w:t>
            </w:r>
          </w:p>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筛查</w:t>
            </w: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尘肺病患者随访调查与康复</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(站、点)管理</w:t>
            </w:r>
          </w:p>
        </w:tc>
        <w:tc>
          <w:tcPr>
            <w:tcW w:w="102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重点职业人群健康素养监测与干预</w:t>
            </w:r>
          </w:p>
        </w:tc>
        <w:tc>
          <w:tcPr>
            <w:tcW w:w="78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职业病危害现状调查</w:t>
            </w: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职业病危害因素监测</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放射性疾病监测</w:t>
            </w:r>
          </w:p>
        </w:tc>
        <w:tc>
          <w:tcPr>
            <w:tcW w:w="76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高氡暴露人员健康效应监测</w:t>
            </w:r>
          </w:p>
        </w:tc>
        <w:tc>
          <w:tcPr>
            <w:tcW w:w="99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放射性危害因素监测</w:t>
            </w: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合计</w:t>
            </w:r>
          </w:p>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三门峡市CDC</w:t>
            </w:r>
          </w:p>
        </w:tc>
        <w:tc>
          <w:tcPr>
            <w:tcW w:w="9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662"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8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102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16.8</w:t>
            </w: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76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99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灵宝市CDC</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10.5</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陕州区CDC</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10.5</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湖滨区CDC</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2.4</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渑池县CDC</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1+12</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义马市CDC</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职业卫生检测站</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三门峡市</w:t>
            </w:r>
          </w:p>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中心医院</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1151" w:type="dxa"/>
          </w:tcPr>
          <w:p>
            <w:pPr>
              <w:jc w:val="center"/>
              <w:rPr>
                <w:rFonts w:hint="eastAsia" w:ascii="仿宋_GB2312" w:hAnsi="仿宋_GB2312" w:eastAsia="仿宋_GB2312" w:cs="仿宋_GB2312"/>
                <w:sz w:val="21"/>
                <w:szCs w:val="21"/>
              </w:rPr>
            </w:pP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6.8</w:t>
            </w: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义煤集团</w:t>
            </w:r>
          </w:p>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总医院</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4.4</w:t>
            </w: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15+2</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灵宝市</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城南医院</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4.4</w:t>
            </w: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义煤集团石壕煤矿医院</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义煤集团</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天新医院</w:t>
            </w:r>
          </w:p>
        </w:tc>
        <w:tc>
          <w:tcPr>
            <w:tcW w:w="938" w:type="dxa"/>
          </w:tcPr>
          <w:p>
            <w:pPr>
              <w:jc w:val="center"/>
              <w:rPr>
                <w:rFonts w:hint="eastAsia" w:ascii="仿宋_GB2312" w:hAnsi="仿宋_GB2312" w:eastAsia="仿宋_GB2312" w:cs="仿宋_GB2312"/>
                <w:sz w:val="21"/>
                <w:szCs w:val="21"/>
              </w:rPr>
            </w:pPr>
          </w:p>
        </w:tc>
        <w:tc>
          <w:tcPr>
            <w:tcW w:w="662" w:type="dxa"/>
          </w:tcPr>
          <w:p>
            <w:pPr>
              <w:jc w:val="center"/>
              <w:rPr>
                <w:rFonts w:hint="eastAsia" w:ascii="仿宋_GB2312" w:hAnsi="仿宋_GB2312" w:eastAsia="仿宋_GB2312" w:cs="仿宋_GB2312"/>
                <w:sz w:val="21"/>
                <w:szCs w:val="21"/>
              </w:rPr>
            </w:pPr>
          </w:p>
        </w:tc>
        <w:tc>
          <w:tcPr>
            <w:tcW w:w="838" w:type="dxa"/>
          </w:tcPr>
          <w:p>
            <w:pPr>
              <w:jc w:val="center"/>
              <w:rPr>
                <w:rFonts w:hint="eastAsia" w:ascii="仿宋_GB2312" w:hAnsi="仿宋_GB2312" w:eastAsia="仿宋_GB2312" w:cs="仿宋_GB2312"/>
                <w:sz w:val="21"/>
                <w:szCs w:val="21"/>
              </w:rPr>
            </w:pP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1020" w:type="dxa"/>
          </w:tcPr>
          <w:p>
            <w:pPr>
              <w:jc w:val="center"/>
              <w:rPr>
                <w:rFonts w:hint="eastAsia" w:ascii="仿宋_GB2312" w:hAnsi="仿宋_GB2312" w:eastAsia="仿宋_GB2312" w:cs="仿宋_GB2312"/>
                <w:sz w:val="21"/>
                <w:szCs w:val="21"/>
              </w:rPr>
            </w:pPr>
          </w:p>
        </w:tc>
        <w:tc>
          <w:tcPr>
            <w:tcW w:w="780" w:type="dxa"/>
          </w:tcPr>
          <w:p>
            <w:pPr>
              <w:jc w:val="center"/>
              <w:rPr>
                <w:rFonts w:hint="eastAsia" w:ascii="仿宋_GB2312" w:hAnsi="仿宋_GB2312" w:eastAsia="仿宋_GB2312" w:cs="仿宋_GB2312"/>
                <w:sz w:val="21"/>
                <w:szCs w:val="21"/>
              </w:rPr>
            </w:pPr>
          </w:p>
        </w:tc>
        <w:tc>
          <w:tcPr>
            <w:tcW w:w="825" w:type="dxa"/>
          </w:tcPr>
          <w:p>
            <w:pPr>
              <w:jc w:val="center"/>
              <w:rPr>
                <w:rFonts w:hint="eastAsia" w:ascii="仿宋_GB2312" w:hAnsi="仿宋_GB2312" w:eastAsia="仿宋_GB2312" w:cs="仿宋_GB2312"/>
                <w:sz w:val="21"/>
                <w:szCs w:val="21"/>
              </w:rPr>
            </w:pPr>
          </w:p>
        </w:tc>
        <w:tc>
          <w:tcPr>
            <w:tcW w:w="840" w:type="dxa"/>
          </w:tcPr>
          <w:p>
            <w:pPr>
              <w:jc w:val="center"/>
              <w:rPr>
                <w:rFonts w:hint="eastAsia" w:ascii="仿宋_GB2312" w:hAnsi="仿宋_GB2312" w:eastAsia="仿宋_GB2312" w:cs="仿宋_GB2312"/>
                <w:sz w:val="21"/>
                <w:szCs w:val="21"/>
              </w:rPr>
            </w:pPr>
          </w:p>
        </w:tc>
        <w:tc>
          <w:tcPr>
            <w:tcW w:w="765" w:type="dxa"/>
          </w:tcPr>
          <w:p>
            <w:pPr>
              <w:jc w:val="center"/>
              <w:rPr>
                <w:rFonts w:hint="eastAsia" w:ascii="仿宋_GB2312" w:hAnsi="仿宋_GB2312" w:eastAsia="仿宋_GB2312" w:cs="仿宋_GB2312"/>
                <w:sz w:val="21"/>
                <w:szCs w:val="21"/>
              </w:rPr>
            </w:pPr>
          </w:p>
        </w:tc>
        <w:tc>
          <w:tcPr>
            <w:tcW w:w="990" w:type="dxa"/>
          </w:tcPr>
          <w:p>
            <w:pPr>
              <w:jc w:val="center"/>
              <w:rPr>
                <w:rFonts w:hint="eastAsia" w:ascii="仿宋_GB2312" w:hAnsi="仿宋_GB2312" w:eastAsia="仿宋_GB2312" w:cs="仿宋_GB2312"/>
                <w:sz w:val="21"/>
                <w:szCs w:val="21"/>
              </w:rPr>
            </w:pP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097"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合计</w:t>
            </w:r>
          </w:p>
        </w:tc>
        <w:tc>
          <w:tcPr>
            <w:tcW w:w="9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662"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13.8</w:t>
            </w:r>
          </w:p>
        </w:tc>
        <w:tc>
          <w:tcPr>
            <w:tcW w:w="838"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1151"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80</w:t>
            </w:r>
          </w:p>
        </w:tc>
        <w:tc>
          <w:tcPr>
            <w:tcW w:w="102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16.8</w:t>
            </w:r>
          </w:p>
        </w:tc>
        <w:tc>
          <w:tcPr>
            <w:tcW w:w="78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82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51.6</w:t>
            </w:r>
          </w:p>
        </w:tc>
        <w:tc>
          <w:tcPr>
            <w:tcW w:w="84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765"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11.8</w:t>
            </w:r>
          </w:p>
        </w:tc>
        <w:tc>
          <w:tcPr>
            <w:tcW w:w="990"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w:t>
            </w:r>
          </w:p>
        </w:tc>
        <w:tc>
          <w:tcPr>
            <w:tcW w:w="746" w:type="dxa"/>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231</w:t>
            </w:r>
          </w:p>
        </w:tc>
      </w:tr>
    </w:tbl>
    <w:p>
      <w:pPr>
        <w:spacing w:beforeLines="50"/>
        <w:ind w:firstLine="640" w:firstLineChars="200"/>
        <w:jc w:val="left"/>
        <w:outlineLvl w:val="2"/>
        <w:rPr>
          <w:rFonts w:hint="eastAsia" w:ascii="仿宋_GB2312" w:hAnsi="仿宋_GB2312" w:eastAsia="仿宋_GB2312" w:cs="仿宋_GB2312"/>
          <w:sz w:val="32"/>
          <w:szCs w:val="32"/>
        </w:rPr>
      </w:pPr>
      <w:bookmarkStart w:id="4" w:name="_Toc6460"/>
      <w:r>
        <w:rPr>
          <w:rFonts w:hint="eastAsia" w:ascii="仿宋_GB2312" w:hAnsi="仿宋_GB2312" w:eastAsia="仿宋_GB2312" w:cs="仿宋_GB2312"/>
          <w:sz w:val="32"/>
          <w:szCs w:val="32"/>
        </w:rPr>
        <w:t>（2）市级分解下达绩效目标情况</w:t>
      </w:r>
      <w:bookmarkEnd w:id="4"/>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1、重点职业病常规监测个案报告：开展职业健康检查工作的医疗机构均应上报所有职业健康检查个案数据，</w:t>
      </w:r>
      <w:r>
        <w:rPr>
          <w:rFonts w:hint="eastAsia" w:ascii="仿宋_GB2312" w:hAnsi="仿宋_GB2312" w:eastAsia="仿宋_GB2312" w:cs="仿宋_GB2312"/>
          <w:sz w:val="32"/>
          <w:szCs w:val="32"/>
          <w:lang w:eastAsia="zh-CN"/>
        </w:rPr>
        <w:t>体检机构</w:t>
      </w:r>
      <w:r>
        <w:rPr>
          <w:rFonts w:hint="eastAsia" w:ascii="仿宋_GB2312" w:hAnsi="仿宋_GB2312" w:eastAsia="仿宋_GB2312" w:cs="仿宋_GB2312"/>
          <w:sz w:val="32"/>
          <w:szCs w:val="32"/>
        </w:rPr>
        <w:t>个案上报覆盖率和个案上报率均应为100%。</w:t>
      </w:r>
    </w:p>
    <w:p>
      <w:pPr>
        <w:numPr>
          <w:ilvl w:val="0"/>
          <w:numId w:val="2"/>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职业性尘肺病主动监测：灵宝市和渑池县选取本辖区中小微型企业在岗的接尘劳动者进行免费职业健康检查，每个县区接尘劳动者不少于200人。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3、职业性尘肺病筛查：根据哨点医院（河南省实施方案中确定的哨点医院为三门峡市中心医院）呼吸科门诊就诊情况，统计就诊人数、接尘工人数、尘肺样改变人数等相关数据。</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4、职业性尘肺病患者随访：对用人单位为三门峡市，2019年底随访结果为存活和2020年新诊断的职业性尘肺患者进行随访，其中湖滨区</w:t>
      </w:r>
      <w:r>
        <w:rPr>
          <w:rFonts w:hint="eastAsia" w:ascii="仿宋_GB2312" w:hAnsi="仿宋_GB2312" w:eastAsia="仿宋_GB2312" w:cs="仿宋_GB2312"/>
          <w:color w:val="auto"/>
          <w:sz w:val="32"/>
          <w:szCs w:val="32"/>
          <w:lang w:val="en-US" w:eastAsia="zh-CN"/>
        </w:rPr>
        <w:t>72</w:t>
      </w:r>
      <w:r>
        <w:rPr>
          <w:rFonts w:hint="eastAsia" w:ascii="仿宋_GB2312" w:hAnsi="仿宋_GB2312" w:eastAsia="仿宋_GB2312" w:cs="仿宋_GB2312"/>
          <w:color w:val="auto"/>
          <w:sz w:val="32"/>
          <w:szCs w:val="32"/>
        </w:rPr>
        <w:t>例、灵宝市</w:t>
      </w:r>
      <w:r>
        <w:rPr>
          <w:rFonts w:hint="eastAsia" w:ascii="仿宋_GB2312" w:hAnsi="仿宋_GB2312" w:eastAsia="仿宋_GB2312" w:cs="仿宋_GB2312"/>
          <w:color w:val="auto"/>
          <w:sz w:val="32"/>
          <w:szCs w:val="32"/>
          <w:lang w:val="en-US" w:eastAsia="zh-CN"/>
        </w:rPr>
        <w:t>1120</w:t>
      </w:r>
      <w:r>
        <w:rPr>
          <w:rFonts w:hint="eastAsia" w:ascii="仿宋_GB2312" w:hAnsi="仿宋_GB2312" w:eastAsia="仿宋_GB2312" w:cs="仿宋_GB2312"/>
          <w:color w:val="auto"/>
          <w:sz w:val="32"/>
          <w:szCs w:val="32"/>
        </w:rPr>
        <w:t>例、卢氏县</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例、渑池县</w:t>
      </w:r>
      <w:r>
        <w:rPr>
          <w:rFonts w:hint="eastAsia" w:ascii="仿宋_GB2312" w:hAnsi="仿宋_GB2312" w:eastAsia="仿宋_GB2312" w:cs="仿宋_GB2312"/>
          <w:color w:val="auto"/>
          <w:sz w:val="32"/>
          <w:szCs w:val="32"/>
          <w:lang w:val="en-US" w:eastAsia="zh-CN"/>
        </w:rPr>
        <w:t>219</w:t>
      </w:r>
      <w:r>
        <w:rPr>
          <w:rFonts w:hint="eastAsia" w:ascii="仿宋_GB2312" w:hAnsi="仿宋_GB2312" w:eastAsia="仿宋_GB2312" w:cs="仿宋_GB2312"/>
          <w:color w:val="auto"/>
          <w:sz w:val="32"/>
          <w:szCs w:val="32"/>
        </w:rPr>
        <w:t>例、陕州区</w:t>
      </w:r>
      <w:r>
        <w:rPr>
          <w:rFonts w:hint="eastAsia" w:ascii="仿宋_GB2312" w:hAnsi="仿宋_GB2312" w:eastAsia="仿宋_GB2312" w:cs="仿宋_GB2312"/>
          <w:color w:val="auto"/>
          <w:sz w:val="32"/>
          <w:szCs w:val="32"/>
          <w:lang w:val="en-US" w:eastAsia="zh-CN"/>
        </w:rPr>
        <w:t>162</w:t>
      </w:r>
      <w:r>
        <w:rPr>
          <w:rFonts w:hint="eastAsia" w:ascii="仿宋_GB2312" w:hAnsi="仿宋_GB2312" w:eastAsia="仿宋_GB2312" w:cs="仿宋_GB2312"/>
          <w:color w:val="auto"/>
          <w:sz w:val="32"/>
          <w:szCs w:val="32"/>
        </w:rPr>
        <w:t>例、义马市</w:t>
      </w:r>
      <w:r>
        <w:rPr>
          <w:rFonts w:hint="eastAsia" w:ascii="仿宋_GB2312" w:hAnsi="仿宋_GB2312" w:eastAsia="仿宋_GB2312" w:cs="仿宋_GB2312"/>
          <w:color w:val="auto"/>
          <w:sz w:val="32"/>
          <w:szCs w:val="32"/>
          <w:lang w:val="en-US" w:eastAsia="zh-CN"/>
        </w:rPr>
        <w:t>256</w:t>
      </w:r>
      <w:r>
        <w:rPr>
          <w:rFonts w:hint="eastAsia" w:ascii="仿宋_GB2312" w:hAnsi="仿宋_GB2312" w:eastAsia="仿宋_GB2312" w:cs="仿宋_GB2312"/>
          <w:color w:val="auto"/>
          <w:sz w:val="32"/>
          <w:szCs w:val="32"/>
        </w:rPr>
        <w:t>例。</w:t>
      </w:r>
      <w:r>
        <w:rPr>
          <w:rFonts w:hint="eastAsia" w:ascii="仿宋_GB2312" w:hAnsi="仿宋_GB2312" w:eastAsia="仿宋_GB2312" w:cs="仿宋_GB2312"/>
          <w:color w:val="auto"/>
          <w:sz w:val="32"/>
          <w:szCs w:val="32"/>
          <w:lang w:eastAsia="zh-CN"/>
        </w:rPr>
        <w:t>随访率≥</w:t>
      </w:r>
      <w:r>
        <w:rPr>
          <w:rFonts w:hint="eastAsia" w:ascii="仿宋_GB2312" w:hAnsi="仿宋_GB2312" w:eastAsia="仿宋_GB2312" w:cs="仿宋_GB2312"/>
          <w:color w:val="auto"/>
          <w:sz w:val="32"/>
          <w:szCs w:val="32"/>
          <w:lang w:val="en-US" w:eastAsia="zh-CN"/>
        </w:rPr>
        <w:t>95%（随访率=</w:t>
      </w:r>
      <w:r>
        <w:rPr>
          <w:rFonts w:hint="eastAsia" w:ascii="仿宋_GB2312" w:hAnsi="仿宋_GB2312" w:eastAsia="仿宋_GB2312" w:cs="仿宋_GB2312"/>
          <w:color w:val="auto"/>
          <w:sz w:val="32"/>
          <w:szCs w:val="32"/>
        </w:rPr>
        <w:t>随访到的人数（现患+死亡）/截至2019年底存活病例+2020年新发尘肺病例</w:t>
      </w:r>
      <w:r>
        <w:rPr>
          <w:rFonts w:hint="eastAsia" w:ascii="仿宋_GB2312" w:hAnsi="仿宋_GB2312" w:eastAsia="仿宋_GB2312" w:cs="仿宋_GB2312"/>
          <w:color w:val="auto"/>
          <w:sz w:val="32"/>
          <w:szCs w:val="32"/>
          <w:lang w:val="en-US"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职业病患者死亡情况及职业性肿瘤监测：市疾控中心从死因监测系统调查2006-2020年诊断的本辖区内职业病患者死亡情况，并根据中国疾控中心职业卫生所提供的与职业病相关ICD-10名单，获取本辖区内2006-2020年根本死因可能为职业病的死亡患者监测信息。通过肿瘤登记系统查询整理2019-2020年辖区内诊断11种职业性肿瘤的患者数量。</w:t>
      </w:r>
    </w:p>
    <w:p>
      <w:pPr>
        <w:ind w:firstLine="640" w:firstLineChars="200"/>
        <w:rPr>
          <w:rFonts w:hint="eastAsia" w:ascii="仿宋_GB2312" w:hAnsi="仿宋_GB2312" w:eastAsia="仿宋_GB2312" w:cs="仿宋_GB2312"/>
          <w:sz w:val="32"/>
          <w:szCs w:val="32"/>
          <w:lang w:val="zh-TW" w:eastAsia="zh-TW" w:bidi="zh-TW"/>
        </w:rPr>
      </w:pPr>
      <w:r>
        <w:rPr>
          <w:rFonts w:hint="eastAsia" w:ascii="仿宋_GB2312" w:hAnsi="仿宋_GB2312" w:eastAsia="仿宋_GB2312" w:cs="仿宋_GB2312"/>
          <w:sz w:val="32"/>
          <w:szCs w:val="32"/>
        </w:rPr>
        <w:t>6、工作场所职业病危害因素监测：对</w:t>
      </w:r>
      <w:r>
        <w:rPr>
          <w:rFonts w:hint="eastAsia" w:ascii="仿宋_GB2312" w:hAnsi="仿宋_GB2312" w:eastAsia="仿宋_GB2312" w:cs="仿宋_GB2312"/>
          <w:sz w:val="32"/>
          <w:szCs w:val="32"/>
          <w:lang w:bidi="zh-TW"/>
        </w:rPr>
        <w:t>各县（市、区）辖区内所有</w:t>
      </w:r>
      <w:r>
        <w:rPr>
          <w:rFonts w:hint="eastAsia" w:ascii="仿宋_GB2312" w:hAnsi="仿宋_GB2312" w:eastAsia="仿宋_GB2312" w:cs="仿宋_GB2312"/>
          <w:sz w:val="32"/>
          <w:szCs w:val="32"/>
          <w:lang w:val="zh-TW" w:eastAsia="zh-TW" w:bidi="zh-TW"/>
        </w:rPr>
        <w:t>采矿业用人单位</w:t>
      </w:r>
      <w:r>
        <w:rPr>
          <w:rFonts w:hint="eastAsia" w:ascii="仿宋_GB2312" w:hAnsi="仿宋_GB2312" w:eastAsia="仿宋_GB2312" w:cs="仿宋_GB2312"/>
          <w:sz w:val="32"/>
          <w:szCs w:val="32"/>
          <w:lang w:val="zh-TW" w:bidi="zh-TW"/>
        </w:rPr>
        <w:t>，</w:t>
      </w:r>
      <w:r>
        <w:rPr>
          <w:rFonts w:hint="eastAsia" w:ascii="仿宋_GB2312" w:hAnsi="仿宋_GB2312" w:eastAsia="仿宋_GB2312" w:cs="仿宋_GB2312"/>
          <w:sz w:val="32"/>
          <w:szCs w:val="32"/>
          <w:lang w:val="zh-TW" w:eastAsia="zh-TW" w:bidi="zh-TW"/>
        </w:rPr>
        <w:t>存在煤尘、矽尘、水泥粉尘、石棉尘、苯、铅、噪声等重点监测因素的其他行业用人单位（加油站除外）进行监测。</w:t>
      </w:r>
      <w:r>
        <w:rPr>
          <w:rFonts w:hint="eastAsia" w:ascii="仿宋_GB2312" w:hAnsi="仿宋_GB2312" w:eastAsia="仿宋_GB2312" w:cs="仿宋_GB2312"/>
          <w:sz w:val="32"/>
          <w:szCs w:val="32"/>
          <w:lang w:val="zh-TW" w:bidi="zh-TW"/>
        </w:rPr>
        <w:t>任务数为</w:t>
      </w:r>
      <w:r>
        <w:rPr>
          <w:rFonts w:hint="eastAsia" w:ascii="仿宋_GB2312" w:hAnsi="仿宋_GB2312" w:eastAsia="仿宋_GB2312" w:cs="仿宋_GB2312"/>
          <w:sz w:val="32"/>
          <w:szCs w:val="32"/>
          <w:lang w:bidi="zh-TW"/>
        </w:rPr>
        <w:t>130家，其中湖滨区6家、陕州区35家、渑池县34家、卢氏县10家、义马市10家、灵宝市35家。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医疗卫生机构医用辐射防护监测：根据《2021年河南省医疗卫生机构医用辐射防护监测工作方案》的要求，我市2021年度共有4家医院进行放射诊断设备的放射防护监测和场所防护监测，其中三级医院1家（三门峡市中心医院），二级医院2家（三门峡市陕州区人民医院、灵宝市第二人民医院），一级及以下医院1家（渑池县第二人民医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非医疗机构放射性危害因素监测：根据方案要求，选取三门峡市黄河汽车站务总公司长途汽车总站、灵宝市宝通汽车客运有限责任公司、三门峡市黄河汽车站务总公司灵宝长途汽车站的3台行包仪放射防护，东方希望（三门峡）铝业公司的3台核仪表的放射防护和灵宝金源晨光有色矿冶有限公司硫铁矿分公司、灵宝黄金集团股份有限公司南山分公司井下放射性核素浓度进行检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职业性放射性疾病监测：根据方案要求，一是对全市放射诊疗机构职业健康管理基本情况、放射工作人员职业健康检查情况、职业性放射性疾病诊断情况进行调查统计分析，二是过量受照人员开展医学随访，三是对高氡暴露矿工健康效应监测。</w:t>
      </w:r>
    </w:p>
    <w:p>
      <w:pPr>
        <w:pStyle w:val="3"/>
        <w:bidi w:val="0"/>
        <w:ind w:firstLine="640" w:firstLineChars="200"/>
        <w:rPr>
          <w:rFonts w:hint="eastAsia" w:ascii="仿宋_GB2312" w:hAnsi="仿宋_GB2312" w:eastAsia="仿宋_GB2312" w:cs="仿宋_GB2312"/>
          <w:b w:val="0"/>
          <w:bCs/>
          <w:sz w:val="32"/>
          <w:szCs w:val="32"/>
        </w:rPr>
      </w:pPr>
      <w:bookmarkStart w:id="5" w:name="_Toc19813"/>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绩效目标实现情况分析</w:t>
      </w:r>
      <w:bookmarkEnd w:id="5"/>
    </w:p>
    <w:p>
      <w:pPr>
        <w:pStyle w:val="4"/>
        <w:bidi w:val="0"/>
        <w:ind w:firstLine="640" w:firstLineChars="200"/>
        <w:rPr>
          <w:rFonts w:hint="eastAsia" w:ascii="仿宋_GB2312" w:hAnsi="仿宋_GB2312" w:eastAsia="仿宋_GB2312" w:cs="仿宋_GB2312"/>
          <w:sz w:val="32"/>
          <w:szCs w:val="32"/>
        </w:rPr>
      </w:pPr>
      <w:bookmarkStart w:id="6" w:name="_Toc22580"/>
      <w:r>
        <w:rPr>
          <w:rFonts w:hint="default"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资金投入情况分析</w:t>
      </w:r>
      <w:bookmarkEnd w:id="6"/>
    </w:p>
    <w:p>
      <w:pPr>
        <w:ind w:firstLine="640" w:firstLineChars="200"/>
        <w:outlineLvl w:val="2"/>
        <w:rPr>
          <w:rFonts w:hint="eastAsia" w:ascii="仿宋_GB2312" w:hAnsi="仿宋_GB2312" w:eastAsia="仿宋_GB2312" w:cs="仿宋_GB2312"/>
          <w:sz w:val="32"/>
          <w:szCs w:val="32"/>
        </w:rPr>
      </w:pPr>
      <w:bookmarkStart w:id="7" w:name="_Toc31128"/>
      <w:r>
        <w:rPr>
          <w:rFonts w:hint="eastAsia" w:ascii="仿宋_GB2312" w:hAnsi="仿宋_GB2312" w:eastAsia="仿宋_GB2312" w:cs="仿宋_GB2312"/>
          <w:sz w:val="32"/>
          <w:szCs w:val="32"/>
        </w:rPr>
        <w:t>1、项目资金到位情况分析</w:t>
      </w:r>
      <w:bookmarkEnd w:id="7"/>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三门峡市财政局、三门峡市卫生健康委员会“关于下达2021年基本公共卫生补助资金”（三财预</w:t>
      </w:r>
      <w:r>
        <w:rPr>
          <w:rFonts w:hint="eastAsia" w:ascii="仿宋_GB2312" w:hAnsi="仿宋_GB2312" w:eastAsia="仿宋_GB2312" w:cs="仿宋_GB2312"/>
          <w:kern w:val="0"/>
          <w:sz w:val="32"/>
          <w:szCs w:val="32"/>
        </w:rPr>
        <w:t>〔2021〕262号）文件和</w:t>
      </w:r>
      <w:r>
        <w:rPr>
          <w:rFonts w:hint="eastAsia" w:ascii="仿宋_GB2312" w:hAnsi="仿宋_GB2312" w:eastAsia="仿宋_GB2312" w:cs="仿宋_GB2312"/>
          <w:sz w:val="32"/>
          <w:szCs w:val="32"/>
        </w:rPr>
        <w:t>三门峡市财政局、三门峡市卫生健康委员会“关于下达2021年基本公共卫生服务补助资金预算的通知（三财预</w:t>
      </w:r>
      <w:r>
        <w:rPr>
          <w:rFonts w:hint="eastAsia" w:ascii="仿宋_GB2312" w:hAnsi="仿宋_GB2312" w:eastAsia="仿宋_GB2312" w:cs="仿宋_GB2312"/>
          <w:color w:val="auto"/>
          <w:kern w:val="0"/>
          <w:sz w:val="32"/>
          <w:szCs w:val="32"/>
        </w:rPr>
        <w:t>〔2021〕458号）文件中</w:t>
      </w:r>
      <w:r>
        <w:rPr>
          <w:rFonts w:hint="eastAsia" w:ascii="仿宋_GB2312" w:hAnsi="仿宋_GB2312" w:eastAsia="仿宋_GB2312" w:cs="仿宋_GB2312"/>
          <w:sz w:val="32"/>
          <w:szCs w:val="32"/>
        </w:rPr>
        <w:t>职业病防治项目经费共241万元全部到位。</w:t>
      </w:r>
    </w:p>
    <w:p>
      <w:pPr>
        <w:ind w:firstLine="640" w:firstLineChars="200"/>
        <w:outlineLvl w:val="2"/>
        <w:rPr>
          <w:rFonts w:hint="eastAsia" w:ascii="仿宋_GB2312" w:hAnsi="仿宋_GB2312" w:eastAsia="仿宋_GB2312" w:cs="仿宋_GB2312"/>
          <w:sz w:val="32"/>
          <w:szCs w:val="32"/>
        </w:rPr>
      </w:pPr>
      <w:bookmarkStart w:id="8" w:name="_Toc26854"/>
      <w:r>
        <w:rPr>
          <w:rFonts w:hint="eastAsia" w:ascii="仿宋_GB2312" w:hAnsi="仿宋_GB2312" w:eastAsia="仿宋_GB2312" w:cs="仿宋_GB2312"/>
          <w:sz w:val="32"/>
          <w:szCs w:val="32"/>
        </w:rPr>
        <w:t>2、项目资金执行情况分析</w:t>
      </w:r>
      <w:bookmarkEnd w:id="8"/>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根据项目资金执行情况的自评结果，职业病防治项目经费能够做到专款专用，中央项目资金241万元，已执行</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4.89</w:t>
      </w:r>
      <w:r>
        <w:rPr>
          <w:rFonts w:hint="eastAsia" w:ascii="仿宋_GB2312" w:hAnsi="仿宋_GB2312" w:eastAsia="仿宋_GB2312" w:cs="仿宋_GB2312"/>
          <w:sz w:val="32"/>
          <w:szCs w:val="32"/>
        </w:rPr>
        <w:t>万元，资金执行率为</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lang w:eastAsia="zh-CN"/>
        </w:rPr>
        <w:t>31</w:t>
      </w:r>
      <w:r>
        <w:rPr>
          <w:rFonts w:hint="eastAsia" w:ascii="仿宋_GB2312" w:hAnsi="仿宋_GB2312" w:eastAsia="仿宋_GB2312" w:cs="仿宋_GB2312"/>
          <w:sz w:val="32"/>
          <w:szCs w:val="32"/>
        </w:rPr>
        <w:t>%。</w:t>
      </w:r>
    </w:p>
    <w:p>
      <w:pPr>
        <w:ind w:firstLine="640" w:firstLineChars="200"/>
        <w:outlineLvl w:val="2"/>
        <w:rPr>
          <w:rFonts w:hint="eastAsia" w:ascii="仿宋_GB2312" w:hAnsi="仿宋_GB2312" w:eastAsia="仿宋_GB2312" w:cs="仿宋_GB2312"/>
          <w:sz w:val="32"/>
          <w:szCs w:val="32"/>
        </w:rPr>
      </w:pPr>
      <w:bookmarkStart w:id="9" w:name="_Toc5563"/>
      <w:r>
        <w:rPr>
          <w:rFonts w:hint="eastAsia" w:ascii="仿宋_GB2312" w:hAnsi="仿宋_GB2312" w:eastAsia="仿宋_GB2312" w:cs="仿宋_GB2312"/>
          <w:sz w:val="32"/>
          <w:szCs w:val="32"/>
        </w:rPr>
        <w:t>3、项目资金管理情况分析</w:t>
      </w:r>
      <w:bookmarkEnd w:id="9"/>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专项资金管理，确保项目任务保质保量按时完成，三门峡市疾控中心作为项目实施单位，制定下发了《三门峡市职业病防治项目实施方案》，结合我市工作实际，对项目资金的管理和使用都提出了具体要求，对有关项目资金管理要求进一步细化，对资金的使用管理、绩效管理、监督管理等按相关要求执行，做到专款专用。</w:t>
      </w:r>
    </w:p>
    <w:p>
      <w:pPr>
        <w:pStyle w:val="4"/>
        <w:bidi w:val="0"/>
        <w:ind w:firstLine="640" w:firstLineChars="200"/>
        <w:rPr>
          <w:rFonts w:hint="eastAsia" w:ascii="仿宋_GB2312" w:hAnsi="仿宋_GB2312" w:eastAsia="仿宋_GB2312" w:cs="仿宋_GB2312"/>
          <w:sz w:val="32"/>
          <w:szCs w:val="32"/>
        </w:rPr>
      </w:pPr>
      <w:bookmarkStart w:id="10" w:name="_Toc32628"/>
      <w:r>
        <w:rPr>
          <w:rFonts w:hint="default"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总体绩效目标完成情况分析</w:t>
      </w:r>
      <w:bookmarkEnd w:id="10"/>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三门峡市2021年职业病防治项目经费使用管理总体情况较好，各项绩效指标基本达到预期要求。</w:t>
      </w:r>
    </w:p>
    <w:p>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职业病常规监测个案报告：2021年度三门峡市共有职业健康检查机构10家，其中上报职业健康检查个案数据的有7家，职业健康检查机构数据上报覆盖率70%。共收集本辖区内接触职业病危害因素职业健康检查个案数据10101例，个案完成率67.34%。重点职业病常规监测个案报告未完成年度绩效目标。</w:t>
      </w:r>
    </w:p>
    <w:p>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尘肺病主动监测：2021年灵宝市和渑池县的尘肺病主动监测工作分别由灵宝市城南医院和义煤集团总医院负责，共完成21家企业427名接尘劳动者的在岗期间职业健康检查。主动监测完成了年度绩效目标。</w:t>
      </w:r>
    </w:p>
    <w:p>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尘肺病筛查：三门峡市中心医院负责尘肺病筛查工作，2021年7月至11月，呼吸系统疾病门诊就诊人数共3170人，其中拍摄X线胸片人数942人，接尘工人数8人，检出胸片尘肺样改变人数3人。</w:t>
      </w:r>
    </w:p>
    <w:p>
      <w:pPr>
        <w:pStyle w:val="2"/>
        <w:numPr>
          <w:ilvl w:val="0"/>
          <w:numId w:val="3"/>
        </w:numPr>
        <w:ind w:firstLine="64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职业性尘肺病患者随访：2021年三门峡市随访任务数包括2019年底存活病例数+2020年新发尘肺病病例数，共计</w:t>
      </w:r>
      <w:r>
        <w:rPr>
          <w:rFonts w:hint="eastAsia" w:ascii="仿宋_GB2312" w:hAnsi="仿宋_GB2312" w:eastAsia="仿宋_GB2312" w:cs="仿宋_GB2312"/>
          <w:color w:val="auto"/>
          <w:sz w:val="32"/>
          <w:szCs w:val="32"/>
          <w:lang w:val="en-US" w:eastAsia="zh-CN"/>
        </w:rPr>
        <w:t>1834</w:t>
      </w:r>
      <w:r>
        <w:rPr>
          <w:rFonts w:hint="eastAsia" w:ascii="仿宋_GB2312" w:hAnsi="仿宋_GB2312" w:eastAsia="仿宋_GB2312" w:cs="仿宋_GB2312"/>
          <w:color w:val="auto"/>
          <w:sz w:val="32"/>
          <w:szCs w:val="32"/>
        </w:rPr>
        <w:t>例。随访到1818人，存活1795人，死亡23人，失访16人</w:t>
      </w:r>
      <w:r>
        <w:rPr>
          <w:rFonts w:hint="eastAsia" w:ascii="仿宋_GB2312" w:hAnsi="仿宋_GB2312" w:eastAsia="仿宋_GB2312" w:cs="仿宋_GB2312"/>
          <w:color w:val="auto"/>
          <w:sz w:val="32"/>
          <w:szCs w:val="32"/>
          <w:lang w:eastAsia="zh-CN"/>
        </w:rPr>
        <w:t>，随访率为</w:t>
      </w:r>
      <w:r>
        <w:rPr>
          <w:rFonts w:hint="eastAsia" w:ascii="仿宋_GB2312" w:hAnsi="仿宋_GB2312" w:eastAsia="仿宋_GB2312" w:cs="仿宋_GB2312"/>
          <w:color w:val="auto"/>
          <w:sz w:val="32"/>
          <w:szCs w:val="32"/>
          <w:lang w:val="en-US" w:eastAsia="zh-CN"/>
        </w:rPr>
        <w:t>99.13%，</w:t>
      </w:r>
      <w:r>
        <w:rPr>
          <w:rFonts w:hint="eastAsia" w:ascii="仿宋_GB2312" w:hAnsi="仿宋_GB2312" w:eastAsia="仿宋_GB2312" w:cs="仿宋_GB2312"/>
          <w:color w:val="auto"/>
          <w:sz w:val="32"/>
          <w:szCs w:val="32"/>
          <w:lang w:eastAsia="zh-CN"/>
        </w:rPr>
        <w:t>完成了年度绩效目标要求。</w:t>
      </w:r>
    </w:p>
    <w:p>
      <w:pPr>
        <w:pStyle w:val="2"/>
        <w:numPr>
          <w:ilvl w:val="0"/>
          <w:numId w:val="3"/>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病患者死亡情况及职业性肿瘤监测：2021年在死因监测系统中共查到有死因的职业性尘肺病死亡患者94人，其中根本死因为尘肺病的患者有11人。通过肿瘤监测系统收集了2019、2020年11种职业肿瘤相关的所有肿瘤病例数，共2523例，其中肺癌2041例，膀胱癌200例，白血病164例，皮肤癌118例，间皮瘤和肝血管肉瘤均为0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6、工作场所职业病危害因素监测：应检测130家，实检测130家，圆满完成任务。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7、医疗卫生机构医用辐射防护监测：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（1）全市放射诊疗机构基本情况调查表及放射诊疗频度调查记录表。计划调查40家医院，共完成54家，超额完成14家。</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（2）放射诊断设备及场所放射防护监测：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三级医院1家：三门峡市中心医院，14台放射诊疗设备。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二级医院2家：三门峡市陕州区人民医院，4台放射诊疗设备；灵宝市第二人民医院，6台放射诊疗设备。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一级及以下医院1家：渑池县第二人民医院，2台放射诊疗设备。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（3）放射治疗设备性能检测和防护检测资料收集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收集了三门峡市中心医院1台SPECT性能检测和防护检测资料，并通过全国放射卫生信息平台进行了填报。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8、非医疗机构放射性危害因素监测：</w:t>
      </w:r>
    </w:p>
    <w:p>
      <w:pPr>
        <w:spacing w:line="360" w:lineRule="auto"/>
        <w:ind w:firstLine="640" w:firstLineChars="200"/>
        <w:outlineLvl w:val="2"/>
        <w:rPr>
          <w:rFonts w:hint="eastAsia" w:ascii="仿宋_GB2312" w:hAnsi="仿宋_GB2312" w:eastAsia="仿宋_GB2312" w:cs="仿宋_GB2312"/>
          <w:sz w:val="32"/>
          <w:szCs w:val="32"/>
        </w:rPr>
      </w:pPr>
      <w:bookmarkStart w:id="11" w:name="_Toc4177"/>
      <w:r>
        <w:rPr>
          <w:rFonts w:hint="eastAsia" w:ascii="仿宋_GB2312" w:hAnsi="仿宋_GB2312" w:eastAsia="仿宋_GB2312" w:cs="仿宋_GB2312"/>
          <w:sz w:val="32"/>
          <w:szCs w:val="32"/>
        </w:rPr>
        <w:t>（1）《非医疗机构放射工作单位情况调查表》收集</w:t>
      </w:r>
      <w:bookmarkEnd w:id="11"/>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以2020年非医疗机构放射性危害因素调查结果为参照，由各县（市）区的疾病预防控制中心负责调查，填写《非医疗机构用人单位情况调查表》和《用人单位职业健康管理情况调查表》。</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回《非医疗机构放射工作单位概况调查表》33份，义马豫西地质工程有限公司和义马煤业综能新能源有限责任公司2家单位放射源不再使用，已将其放射源移交至郑州有关部门。新增加2家地下金属矿山分别是灵宝黄金集团股份有限公司南山分公司和灵宝金源晨光有色矿冶有限公司硫铁矿分公司。</w:t>
      </w:r>
    </w:p>
    <w:p>
      <w:pPr>
        <w:pStyle w:val="14"/>
        <w:ind w:left="420" w:firstLine="0" w:firstLineChars="0"/>
        <w:outlineLvl w:val="2"/>
        <w:rPr>
          <w:rFonts w:hint="eastAsia" w:ascii="仿宋_GB2312" w:hAnsi="仿宋_GB2312" w:eastAsia="仿宋_GB2312" w:cs="仿宋_GB2312"/>
          <w:sz w:val="32"/>
          <w:szCs w:val="32"/>
        </w:rPr>
      </w:pPr>
      <w:bookmarkStart w:id="12" w:name="_Toc22417"/>
      <w:r>
        <w:rPr>
          <w:rFonts w:hint="eastAsia" w:ascii="仿宋_GB2312" w:hAnsi="仿宋_GB2312" w:eastAsia="仿宋_GB2312" w:cs="仿宋_GB2312"/>
          <w:sz w:val="32"/>
          <w:szCs w:val="32"/>
        </w:rPr>
        <w:t>（2）非医疗机构放射性危害因素监测</w:t>
      </w:r>
      <w:bookmarkEnd w:id="12"/>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三门峡市非医疗机构放射性危害因素监测完成情况：行包仪使用企业3家（各1 台），核仪表企业1家（3台），非煤矿山井下氡检测2家。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通过全国放射卫生信息平台非医疗机构填报非医疗机构放射工作单位基本信息33家，填报放射源基本信息354枚，射线装置基本信息22台；填报3台行包仪和3枚放射源工作场所检测信息。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9、职业性放射性疾病监测：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（1）收集上报三门峡市辖区内放射诊疗机构放射工作人员职业健康管理基本情况表。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（2）过量受照人员医学随访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辖区内既往4名受照年剂量≥20mSv放射工作人员及3名放射性疾病患者的基本情况登记调查和医学随访，完成2起放射事故的调查及随访。协助省职防院通知相关人员到省职防院体检中心进行医学检查，渑池县人民医院的贺文楠和董学亮于10月19日到省职防院进行了医学检查。三门峡市中心医院的李红燕和渑池县中医院的李彦龙分别于9月26日和9月27日参加了今年由省职防院组织开展的放射工作人员健康检查，体检结论均为可继续从事原放射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对黄河医院过量受照人员魏晓敏进行了死因调查，并填写死因调查表上报省职防院。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（3）监测医院放射工作人员职业健康管理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计划监测的2家监测医院分别是三门峡市中心医院和灵宝市第二人民医院。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收集了这2家医院的放射工作人员职业健康管理基本信息表及个人剂量监测率统计表并上报。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收集三门峡市中心医院从事介入放射学诊疗的工作人员开展双剂量计监测的情况及监测结果统计表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（4）介入人员眼晶状体、手部剂量监测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协助省职防院选取三门峡市中心医院对从事介入放射学诊疗的9名工作人员进行眼晶状体和手部剂量监测，共佩戴3个月，监测结果已上报。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（5）超剂量人员调查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全市共有8名超剂量放射工作人员，均开展了剂量异常原因调查，填写了“职业性外照射个人监测剂量调查登记表”，并通过放射放射卫生信息平台上报剂量异常人员的调查结果和所有监测周期的剂量监测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（6）核医学医院基本情况调查及内照射监测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对三门峡市中心医院和黄河三门峡医院2家医院开展核医学情况调查。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协助省职防院对三门峡市中心医院和黄河三门峡医院2家医院的10名核医学工作人员进行了内照射剂量监测。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（7）高氡暴露矿工健康效应监测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取灵宝金源矿业有限公司鼎立分公司和鑫灵分公司做为高氡暴露矿工健康效应监测企业。在该公司选取40名井下矿工和20名井上作业职工进行了基本情况调查、矿工职业健康检查、肺癌低剂量CT筛查和个人剂量计的佩戴。矿工职业健康检查和肺癌低剂量CT筛查人员信息汇总、矿山所在地肺癌死因和肿瘤登记情况调查均已完成。</w:t>
      </w:r>
    </w:p>
    <w:p>
      <w:pPr>
        <w:pStyle w:val="3"/>
        <w:bidi w:val="0"/>
        <w:ind w:firstLine="640" w:firstLineChars="200"/>
        <w:rPr>
          <w:rFonts w:hint="eastAsia" w:ascii="黑体" w:hAnsi="黑体" w:eastAsia="黑体" w:cs="黑体"/>
          <w:b w:val="0"/>
          <w:bCs/>
          <w:sz w:val="32"/>
          <w:szCs w:val="32"/>
        </w:rPr>
      </w:pPr>
      <w:bookmarkStart w:id="13" w:name="_Toc10363"/>
      <w:r>
        <w:rPr>
          <w:rFonts w:hint="eastAsia" w:ascii="黑体" w:hAnsi="黑体" w:eastAsia="黑体" w:cs="黑体"/>
          <w:b w:val="0"/>
          <w:bCs/>
          <w:sz w:val="32"/>
          <w:szCs w:val="32"/>
          <w:lang w:eastAsia="zh-CN"/>
        </w:rPr>
        <w:t>三、</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偏离绩效目标原因和下一步改进措施</w:t>
      </w:r>
      <w:bookmarkEnd w:id="13"/>
    </w:p>
    <w:p>
      <w:pPr>
        <w:pStyle w:val="4"/>
        <w:bidi w:val="0"/>
        <w:ind w:firstLine="640" w:firstLineChars="200"/>
        <w:rPr>
          <w:rFonts w:hint="eastAsia" w:ascii="仿宋_GB2312" w:hAnsi="仿宋_GB2312" w:eastAsia="仿宋_GB2312" w:cs="仿宋_GB2312"/>
          <w:sz w:val="32"/>
          <w:szCs w:val="32"/>
        </w:rPr>
      </w:pPr>
      <w:bookmarkStart w:id="14" w:name="_Toc17711"/>
      <w:r>
        <w:rPr>
          <w:rFonts w:hint="default"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项目实施中存在的问题及原因</w:t>
      </w:r>
      <w:bookmarkEnd w:id="14"/>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1、市级机构职业病防治专业技术人员缺乏。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2、县级机构不健全，大部分县（市、区）疾控都未成立单独的职业病防治科室，严重缺乏人员和仪器，一个科室承担多方面的工作，严重影响了职业病防治项目的工作进度。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3、时间紧任务重，为了赶工作进度，质量无法保证。</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4、职业健康检查机构专业技术水平</w:t>
      </w:r>
      <w:r>
        <w:rPr>
          <w:rFonts w:hint="eastAsia" w:ascii="仿宋_GB2312" w:hAnsi="仿宋_GB2312" w:eastAsia="仿宋_GB2312" w:cs="仿宋_GB2312"/>
          <w:color w:val="auto"/>
          <w:sz w:val="32"/>
          <w:szCs w:val="32"/>
          <w:lang w:eastAsia="zh-CN"/>
        </w:rPr>
        <w:t>和职业健康检查个案上报率</w:t>
      </w:r>
      <w:r>
        <w:rPr>
          <w:rFonts w:hint="eastAsia" w:ascii="仿宋_GB2312" w:hAnsi="仿宋_GB2312" w:eastAsia="仿宋_GB2312" w:cs="仿宋_GB2312"/>
          <w:color w:val="auto"/>
          <w:sz w:val="32"/>
          <w:szCs w:val="32"/>
        </w:rPr>
        <w:t>有待提高，相关专业技术人员对职业病防治法律、法规、规范、标准的掌握和执行力有待加强。</w:t>
      </w:r>
    </w:p>
    <w:p>
      <w:pPr>
        <w:pStyle w:val="4"/>
        <w:bidi w:val="0"/>
        <w:ind w:firstLine="640" w:firstLineChars="200"/>
        <w:rPr>
          <w:rFonts w:hint="eastAsia" w:ascii="仿宋_GB2312" w:hAnsi="仿宋_GB2312" w:eastAsia="仿宋_GB2312" w:cs="仿宋_GB2312"/>
          <w:sz w:val="32"/>
          <w:szCs w:val="32"/>
        </w:rPr>
      </w:pPr>
      <w:bookmarkStart w:id="15" w:name="_Toc30318"/>
      <w:r>
        <w:rPr>
          <w:rFonts w:hint="default"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改进措施</w:t>
      </w:r>
      <w:bookmarkEnd w:id="15"/>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1、市级职业病防治机构要把工作重点放在质量控制和技术指导上。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2、推进县区级疾控职业病防治人员队伍建设，市县两级合力做好职业病防治项目工作。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3、加强职业病防治知识宣传和基层职业病防治工作人员专业知识的培训工作，提高基层职业病防治工作人员的技术水平。</w:t>
      </w:r>
    </w:p>
    <w:p>
      <w:pPr>
        <w:pStyle w:val="3"/>
        <w:bidi w:val="0"/>
        <w:ind w:firstLine="640" w:firstLineChars="200"/>
        <w:rPr>
          <w:rFonts w:hint="eastAsia" w:ascii="仿宋_GB2312" w:hAnsi="仿宋_GB2312" w:eastAsia="仿宋_GB2312" w:cs="仿宋_GB2312"/>
          <w:sz w:val="32"/>
          <w:szCs w:val="32"/>
        </w:rPr>
      </w:pPr>
      <w:bookmarkStart w:id="16" w:name="_Toc27534"/>
      <w:r>
        <w:rPr>
          <w:rFonts w:hint="eastAsia" w:ascii="仿宋_GB2312" w:hAnsi="仿宋_GB2312" w:eastAsia="仿宋_GB2312" w:cs="仿宋_GB2312"/>
          <w:sz w:val="32"/>
          <w:szCs w:val="32"/>
          <w:lang w:val="en-US" w:eastAsia="zh-CN"/>
        </w:rPr>
        <w:t xml:space="preserve">4 </w:t>
      </w:r>
      <w:r>
        <w:rPr>
          <w:rFonts w:hint="eastAsia" w:ascii="仿宋_GB2312" w:hAnsi="仿宋_GB2312" w:eastAsia="仿宋_GB2312" w:cs="仿宋_GB2312"/>
          <w:sz w:val="32"/>
          <w:szCs w:val="32"/>
        </w:rPr>
        <w:t>绩效自评结果拟应用和公开情况</w:t>
      </w:r>
      <w:bookmarkEnd w:id="16"/>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Cs/>
          <w:kern w:val="21"/>
          <w:sz w:val="32"/>
          <w:szCs w:val="32"/>
        </w:rPr>
        <w:t>2021年职业病防治项目工作，</w:t>
      </w:r>
      <w:r>
        <w:rPr>
          <w:rFonts w:hint="eastAsia" w:ascii="仿宋_GB2312" w:hAnsi="仿宋_GB2312" w:eastAsia="仿宋_GB2312" w:cs="仿宋_GB2312"/>
          <w:kern w:val="0"/>
          <w:sz w:val="32"/>
          <w:szCs w:val="32"/>
        </w:rPr>
        <w:t>已完成了《三门峡市工作场所职业病危害因素监测评估报告（2021年度）》、《三门峡市工作场所职业病危害因素监测质量控制报告（2021年度）》、《三门峡市2021年度重点职业病监测与风险评估报告》、《三门峡市职业健康检查机构2021年度质量控制报告》以及各项目工作总结，均提交河南省职业病防治研究院和三门峡市卫生健康委员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根据职业病防治项目监测结果，基本</w:t>
      </w:r>
      <w:r>
        <w:rPr>
          <w:rFonts w:hint="eastAsia" w:ascii="仿宋_GB2312" w:hAnsi="仿宋_GB2312" w:eastAsia="仿宋_GB2312" w:cs="仿宋_GB2312"/>
          <w:sz w:val="32"/>
          <w:szCs w:val="32"/>
        </w:rPr>
        <w:t>掌握三门峡市重点行业职业病危害现状、研究分析不同地区、不同行业类型、不同规模用人单位工作场所中重点职业病危害因素分布及浓度（强度）水平，为评估职业病危害因素暴露对劳动者健康的影响奠定了良好基础，为地方政府制定职业病防治规划和政策实施提供依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根据职业性尘肺病人追踪与回顾性调查结果基本掌握了我市现患尘肺病人基本信息和保障情况。同时，根据病人居住地分布情况建立了3个康复站和8个康复点，有效保护了尘肺病患者的健康权益。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门峡市卫生健康委根据监测结果分别将超标企业的超标点和超标项目告知相关企业，要求企业按照要求及时整改存在问题，确保达标运行，安全生产。同时，各县（市、区）卫生健康委充分运用监测结果，对照通报中用人单位存在的问题，进一步加强对问题企业的监督检查和监管执法，促使用人单位认真整改存在的问题，提高监管工作的针对性和实效性，确保整改到位，杜绝反弹现象发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通过项目工作，提升了监测机构和人员能力，在开展工作场所职业病危害因素监测项目工作之前，三门峡市各县区疾控中心职业病防治能力薄弱，大部分县区疾控中心没有设置独立的职业病防治科室，通过开展了两年的监测工作，各县区疾控中心均设置了独立的职业病防治科室，配备了固定的专业技术人员，多次接受市级培训，提升了县区疾控中心职业病防治专业技术人员的专业水平，同时也积极购置了现场采样仪器，县区疾控中心职业病防治能力得到了较大提升。</w:t>
      </w:r>
    </w:p>
    <w:p>
      <w:pPr>
        <w:ind w:firstLine="640" w:firstLineChars="200"/>
        <w:rPr>
          <w:rFonts w:hint="eastAsia" w:ascii="仿宋_GB2312" w:hAnsi="仿宋_GB2312" w:eastAsia="仿宋_GB2312" w:cs="仿宋_GB2312"/>
          <w:sz w:val="32"/>
          <w:szCs w:val="32"/>
        </w:rPr>
      </w:pPr>
    </w:p>
    <w:p>
      <w:pPr>
        <w:rPr>
          <w:rFonts w:hint="eastAsia" w:ascii="仿宋_GB2312" w:hAnsi="仿宋_GB2312" w:eastAsia="仿宋_GB2312" w:cs="仿宋_GB2312"/>
          <w:kern w:val="0"/>
          <w:sz w:val="32"/>
          <w:szCs w:val="32"/>
        </w:rPr>
      </w:pPr>
    </w:p>
    <w:p>
      <w:pPr>
        <w:ind w:firstLine="640" w:firstLineChars="20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 xml:space="preserve">                     </w:t>
      </w:r>
      <w:r>
        <w:rPr>
          <w:rFonts w:hint="eastAsia" w:ascii="仿宋_GB2312" w:hAnsi="仿宋_GB2312" w:eastAsia="仿宋_GB2312" w:cs="仿宋_GB2312"/>
          <w:kern w:val="0"/>
          <w:sz w:val="32"/>
          <w:szCs w:val="32"/>
          <w:lang w:eastAsia="zh-CN"/>
        </w:rPr>
        <w:t>三门峡市卫生健康委员会</w:t>
      </w:r>
      <w:r>
        <w:rPr>
          <w:rFonts w:hint="eastAsia" w:ascii="仿宋_GB2312" w:hAnsi="仿宋_GB2312" w:eastAsia="仿宋_GB2312" w:cs="仿宋_GB2312"/>
          <w:kern w:val="0"/>
          <w:sz w:val="32"/>
          <w:szCs w:val="32"/>
        </w:rPr>
        <w:t xml:space="preserve">  </w:t>
      </w:r>
    </w:p>
    <w:p>
      <w:pPr>
        <w:ind w:firstLine="640" w:firstLineChars="200"/>
        <w:jc w:val="center"/>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bookmarkStart w:id="17" w:name="_Toc21697"/>
      <w:r>
        <w:rPr>
          <w:rFonts w:hint="eastAsia" w:ascii="仿宋_GB2312" w:hAnsi="仿宋_GB2312" w:eastAsia="仿宋_GB2312" w:cs="仿宋_GB2312"/>
          <w:kern w:val="0"/>
          <w:sz w:val="32"/>
          <w:szCs w:val="32"/>
        </w:rPr>
        <w:t>2022年2月</w:t>
      </w:r>
      <w:r>
        <w:rPr>
          <w:rFonts w:hint="eastAsia" w:ascii="仿宋_GB2312" w:hAnsi="仿宋_GB2312" w:eastAsia="仿宋_GB2312" w:cs="仿宋_GB2312"/>
          <w:kern w:val="0"/>
          <w:sz w:val="32"/>
          <w:szCs w:val="32"/>
          <w:lang w:eastAsia="zh-CN"/>
        </w:rPr>
        <w:t>22</w:t>
      </w:r>
      <w:r>
        <w:rPr>
          <w:rFonts w:hint="eastAsia" w:ascii="仿宋_GB2312" w:hAnsi="仿宋_GB2312" w:eastAsia="仿宋_GB2312" w:cs="仿宋_GB2312"/>
          <w:kern w:val="0"/>
          <w:sz w:val="32"/>
          <w:szCs w:val="32"/>
        </w:rPr>
        <w:t>日</w:t>
      </w:r>
      <w:bookmarkEnd w:id="17"/>
    </w:p>
    <w:p>
      <w:pPr>
        <w:spacing w:line="560" w:lineRule="exact"/>
        <w:ind w:firstLine="560" w:firstLineChars="200"/>
        <w:rPr>
          <w:rFonts w:ascii="Times New Roman" w:hAnsi="Times New Roman" w:eastAsia="仿宋_GB2312"/>
          <w:sz w:val="28"/>
          <w:szCs w:val="28"/>
        </w:rPr>
      </w:pPr>
    </w:p>
    <w:p>
      <w:pPr>
        <w:pStyle w:val="4"/>
        <w:spacing w:line="240" w:lineRule="auto"/>
        <w:jc w:val="left"/>
        <w:outlineLvl w:val="9"/>
      </w:pPr>
    </w:p>
    <w:sectPr>
      <w:footerReference r:id="rId3" w:type="default"/>
      <w:pgSz w:w="11906" w:h="16838"/>
      <w:pgMar w:top="1440" w:right="1457" w:bottom="1440" w:left="145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altName w:val="Arial Unicode MS"/>
    <w:panose1 w:val="02010609060101010101"/>
    <w:charset w:val="86"/>
    <w:family w:val="auto"/>
    <w:pitch w:val="default"/>
    <w:sig w:usb0="00000000" w:usb1="00000000" w:usb2="00000016" w:usb3="00000000" w:csb0="00040001" w:csb1="00000000"/>
  </w:font>
  <w:font w:name="Book Antiqua">
    <w:panose1 w:val="02040602050305030304"/>
    <w:charset w:val="00"/>
    <w:family w:val="auto"/>
    <w:pitch w:val="default"/>
    <w:sig w:usb0="00000287" w:usb1="00000000" w:usb2="00000000" w:usb3="00000000" w:csb0="2000009F" w:csb1="DFD7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ffectLst/>
                    </wps:spPr>
                    <wps:txbx>
                      <w:txbxContent>
                        <w:p>
                          <w:pPr>
                            <w:pStyle w:val="6"/>
                          </w:pPr>
                          <w:r>
                            <w:fldChar w:fldCharType="begin"/>
                          </w:r>
                          <w:r>
                            <w:instrText xml:space="preserve"> PAGE  \* MERGEFORMAT </w:instrText>
                          </w:r>
                          <w:r>
                            <w:fldChar w:fldCharType="separate"/>
                          </w:r>
                          <w:r>
                            <w:t>15</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y1u5d9AAAAAC&#10;AQAADwAAAAAAAAABACAAAAA4AAAAZHJzL2Rvd25yZXYueG1sUEsBAhQAFAAAAAgAh07iQPE3XtgO&#10;AgAADwQAAA4AAAAAAAAAAQAgAAAANQEAAGRycy9lMm9Eb2MueG1sUEsFBgAAAAAGAAYAWQEAALUF&#10;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02E33D"/>
    <w:multiLevelType w:val="singleLevel"/>
    <w:tmpl w:val="B202E33D"/>
    <w:lvl w:ilvl="0" w:tentative="0">
      <w:start w:val="1"/>
      <w:numFmt w:val="decimal"/>
      <w:suff w:val="nothing"/>
      <w:lvlText w:val="%1、"/>
      <w:lvlJc w:val="left"/>
      <w:pPr>
        <w:ind w:left="-10"/>
      </w:pPr>
    </w:lvl>
  </w:abstractNum>
  <w:abstractNum w:abstractNumId="1">
    <w:nsid w:val="EBE47559"/>
    <w:multiLevelType w:val="singleLevel"/>
    <w:tmpl w:val="EBE47559"/>
    <w:lvl w:ilvl="0" w:tentative="0">
      <w:start w:val="1"/>
      <w:numFmt w:val="decimal"/>
      <w:suff w:val="nothing"/>
      <w:lvlText w:val="%1、"/>
      <w:lvlJc w:val="left"/>
    </w:lvl>
  </w:abstractNum>
  <w:abstractNum w:abstractNumId="2">
    <w:nsid w:val="53ACBDDB"/>
    <w:multiLevelType w:val="singleLevel"/>
    <w:tmpl w:val="53ACBDDB"/>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51"/>
    <w:rsid w:val="000007AE"/>
    <w:rsid w:val="00030B5D"/>
    <w:rsid w:val="000669A1"/>
    <w:rsid w:val="000A41D2"/>
    <w:rsid w:val="000E6132"/>
    <w:rsid w:val="000E7671"/>
    <w:rsid w:val="001E7F46"/>
    <w:rsid w:val="001F48D1"/>
    <w:rsid w:val="00217551"/>
    <w:rsid w:val="00280312"/>
    <w:rsid w:val="002B1C83"/>
    <w:rsid w:val="002B3F04"/>
    <w:rsid w:val="002D676D"/>
    <w:rsid w:val="0033343B"/>
    <w:rsid w:val="00337CA8"/>
    <w:rsid w:val="00373037"/>
    <w:rsid w:val="003B3397"/>
    <w:rsid w:val="003E7177"/>
    <w:rsid w:val="00411893"/>
    <w:rsid w:val="0046288E"/>
    <w:rsid w:val="00494BE4"/>
    <w:rsid w:val="004A465A"/>
    <w:rsid w:val="004C1476"/>
    <w:rsid w:val="00554EFD"/>
    <w:rsid w:val="005965B1"/>
    <w:rsid w:val="005A2B28"/>
    <w:rsid w:val="00631175"/>
    <w:rsid w:val="0064469D"/>
    <w:rsid w:val="00750282"/>
    <w:rsid w:val="00775832"/>
    <w:rsid w:val="007A0380"/>
    <w:rsid w:val="007D24EB"/>
    <w:rsid w:val="007E09E4"/>
    <w:rsid w:val="007F3A1F"/>
    <w:rsid w:val="00836E4B"/>
    <w:rsid w:val="0085275E"/>
    <w:rsid w:val="00864CBE"/>
    <w:rsid w:val="008D2091"/>
    <w:rsid w:val="008F0537"/>
    <w:rsid w:val="008F1ED8"/>
    <w:rsid w:val="00915ACB"/>
    <w:rsid w:val="009417B8"/>
    <w:rsid w:val="009B34C3"/>
    <w:rsid w:val="009F39E2"/>
    <w:rsid w:val="00A60191"/>
    <w:rsid w:val="00AF59B1"/>
    <w:rsid w:val="00AF7F8D"/>
    <w:rsid w:val="00B61E22"/>
    <w:rsid w:val="00BA3395"/>
    <w:rsid w:val="00BB2D5E"/>
    <w:rsid w:val="00C471F6"/>
    <w:rsid w:val="00CD01D1"/>
    <w:rsid w:val="00D02E15"/>
    <w:rsid w:val="00D20099"/>
    <w:rsid w:val="00D3228F"/>
    <w:rsid w:val="00D3329A"/>
    <w:rsid w:val="00D71783"/>
    <w:rsid w:val="00D95378"/>
    <w:rsid w:val="00DA7D7F"/>
    <w:rsid w:val="00DC0335"/>
    <w:rsid w:val="00E44FB7"/>
    <w:rsid w:val="00E940D1"/>
    <w:rsid w:val="00F2358A"/>
    <w:rsid w:val="00F378C1"/>
    <w:rsid w:val="00F81937"/>
    <w:rsid w:val="00FD1569"/>
    <w:rsid w:val="0ABD799F"/>
    <w:rsid w:val="0F255C58"/>
    <w:rsid w:val="1B72301D"/>
    <w:rsid w:val="1C6568C1"/>
    <w:rsid w:val="25D87A77"/>
    <w:rsid w:val="2805037D"/>
    <w:rsid w:val="2A7F6D93"/>
    <w:rsid w:val="308832E5"/>
    <w:rsid w:val="321D3A6E"/>
    <w:rsid w:val="34B60652"/>
    <w:rsid w:val="366C82CC"/>
    <w:rsid w:val="3A5E5E0B"/>
    <w:rsid w:val="3DE7CC07"/>
    <w:rsid w:val="3E5D370A"/>
    <w:rsid w:val="51FE5EA0"/>
    <w:rsid w:val="553C3640"/>
    <w:rsid w:val="5B7937C6"/>
    <w:rsid w:val="5B7A1981"/>
    <w:rsid w:val="68F27DD5"/>
    <w:rsid w:val="6AC66C4D"/>
    <w:rsid w:val="7A2F5B6A"/>
    <w:rsid w:val="7FE64C0C"/>
    <w:rsid w:val="9FFBA483"/>
    <w:rsid w:val="FD8F0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3"/>
    <w:qFormat/>
    <w:uiPriority w:val="9"/>
    <w:pPr>
      <w:keepNext/>
      <w:keepLines/>
      <w:spacing w:beforeLines="0" w:beforeAutospacing="0" w:afterLines="0" w:afterAutospacing="0" w:line="360" w:lineRule="auto"/>
      <w:outlineLvl w:val="0"/>
    </w:pPr>
    <w:rPr>
      <w:rFonts w:ascii="宋体" w:hAnsi="宋体"/>
      <w:b/>
      <w:kern w:val="44"/>
      <w:sz w:val="28"/>
    </w:rPr>
  </w:style>
  <w:style w:type="paragraph" w:styleId="4">
    <w:name w:val="heading 2"/>
    <w:basedOn w:val="1"/>
    <w:next w:val="1"/>
    <w:link w:val="13"/>
    <w:qFormat/>
    <w:uiPriority w:val="99"/>
    <w:pPr>
      <w:keepNext/>
      <w:keepLines/>
      <w:spacing w:line="360" w:lineRule="auto"/>
      <w:outlineLvl w:val="1"/>
    </w:pPr>
    <w:rPr>
      <w:rFonts w:ascii="宋体" w:hAnsi="宋体"/>
      <w:b/>
      <w:bCs/>
      <w:kern w:val="0"/>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eastAsia="仿宋_GB2312"/>
      <w:sz w:val="32"/>
      <w:szCs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character" w:customStyle="1" w:styleId="13">
    <w:name w:val="标题 2 Char"/>
    <w:basedOn w:val="10"/>
    <w:link w:val="4"/>
    <w:qFormat/>
    <w:uiPriority w:val="99"/>
    <w:rPr>
      <w:rFonts w:ascii="宋体" w:hAnsi="宋体" w:eastAsia="宋体" w:cs="Times New Roman"/>
      <w:b/>
      <w:bCs/>
      <w:kern w:val="0"/>
      <w:sz w:val="28"/>
      <w:szCs w:val="28"/>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rFonts w:ascii="Calibri" w:hAnsi="Calibri" w:eastAsia="宋体" w:cs="Times New Roman"/>
      <w:sz w:val="18"/>
      <w:szCs w:val="18"/>
    </w:rPr>
  </w:style>
  <w:style w:type="character" w:customStyle="1" w:styleId="16">
    <w:name w:val="font131"/>
    <w:basedOn w:val="10"/>
    <w:qFormat/>
    <w:uiPriority w:val="0"/>
    <w:rPr>
      <w:rFonts w:hint="eastAsia" w:ascii="宋体" w:hAnsi="宋体" w:eastAsia="宋体" w:cs="宋体"/>
      <w:color w:val="000000"/>
      <w:sz w:val="32"/>
      <w:szCs w:val="32"/>
      <w:u w:val="none"/>
    </w:rPr>
  </w:style>
  <w:style w:type="character" w:customStyle="1" w:styleId="17">
    <w:name w:val="font41"/>
    <w:basedOn w:val="10"/>
    <w:qFormat/>
    <w:uiPriority w:val="0"/>
    <w:rPr>
      <w:rFonts w:hint="eastAsia" w:ascii="宋体" w:hAnsi="宋体" w:eastAsia="宋体" w:cs="宋体"/>
      <w:color w:val="000000"/>
      <w:sz w:val="20"/>
      <w:szCs w:val="20"/>
      <w:u w:val="none"/>
    </w:rPr>
  </w:style>
  <w:style w:type="character" w:customStyle="1" w:styleId="18">
    <w:name w:val="font141"/>
    <w:basedOn w:val="10"/>
    <w:qFormat/>
    <w:uiPriority w:val="0"/>
    <w:rPr>
      <w:rFonts w:hint="eastAsia" w:ascii="宋体" w:hAnsi="宋体" w:eastAsia="宋体" w:cs="宋体"/>
      <w:color w:val="FF0000"/>
      <w:sz w:val="16"/>
      <w:szCs w:val="16"/>
      <w:u w:val="none"/>
    </w:rPr>
  </w:style>
  <w:style w:type="character" w:customStyle="1" w:styleId="19">
    <w:name w:val="font151"/>
    <w:basedOn w:val="10"/>
    <w:qFormat/>
    <w:uiPriority w:val="0"/>
    <w:rPr>
      <w:rFonts w:hint="eastAsia" w:ascii="宋体" w:hAnsi="宋体" w:eastAsia="宋体" w:cs="宋体"/>
      <w:b/>
      <w:bCs/>
      <w:color w:val="FF0000"/>
      <w:sz w:val="16"/>
      <w:szCs w:val="16"/>
      <w:u w:val="none"/>
    </w:rPr>
  </w:style>
  <w:style w:type="character" w:customStyle="1" w:styleId="20">
    <w:name w:val="font161"/>
    <w:basedOn w:val="10"/>
    <w:qFormat/>
    <w:uiPriority w:val="0"/>
    <w:rPr>
      <w:rFonts w:hint="eastAsia" w:ascii="宋体" w:hAnsi="宋体" w:eastAsia="宋体" w:cs="宋体"/>
      <w:color w:val="000000"/>
      <w:sz w:val="16"/>
      <w:szCs w:val="16"/>
      <w:u w:val="none"/>
    </w:rPr>
  </w:style>
  <w:style w:type="character" w:customStyle="1" w:styleId="21">
    <w:name w:val="font171"/>
    <w:basedOn w:val="10"/>
    <w:qFormat/>
    <w:uiPriority w:val="0"/>
    <w:rPr>
      <w:rFonts w:hint="eastAsia" w:ascii="宋体" w:hAnsi="宋体" w:eastAsia="宋体" w:cs="宋体"/>
      <w:color w:val="000000"/>
      <w:sz w:val="16"/>
      <w:szCs w:val="16"/>
      <w:u w:val="none"/>
    </w:rPr>
  </w:style>
  <w:style w:type="paragraph" w:customStyle="1" w:styleId="22">
    <w:name w:val="无间隔1"/>
    <w:qFormat/>
    <w:uiPriority w:val="99"/>
    <w:pPr>
      <w:widowControl w:val="0"/>
      <w:spacing w:after="80"/>
      <w:jc w:val="both"/>
    </w:pPr>
    <w:rPr>
      <w:rFonts w:ascii="Times New Roman" w:hAnsi="Times New Roman" w:eastAsia="宋体" w:cs="Times New Roman"/>
      <w:kern w:val="2"/>
      <w:sz w:val="21"/>
      <w:szCs w:val="24"/>
      <w:lang w:val="en-US" w:eastAsia="zh-CN" w:bidi="ar-SA"/>
    </w:rPr>
  </w:style>
  <w:style w:type="character" w:customStyle="1" w:styleId="23">
    <w:name w:val="标题 1 Char"/>
    <w:link w:val="3"/>
    <w:qFormat/>
    <w:uiPriority w:val="0"/>
    <w:rPr>
      <w:rFonts w:ascii="宋体" w:hAnsi="宋体" w:eastAsia="宋体"/>
      <w:b/>
      <w:kern w:val="44"/>
      <w:sz w:val="28"/>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3103</Words>
  <Characters>17688</Characters>
  <Lines>147</Lines>
  <Paragraphs>41</Paragraphs>
  <TotalTime>87</TotalTime>
  <ScaleCrop>false</ScaleCrop>
  <LinksUpToDate>false</LinksUpToDate>
  <CharactersWithSpaces>20750</CharactersWithSpaces>
  <Application>WPS Office_11.1.0.10702_F1E327BC-269C-435d-A152-05C5408002CA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2021-01-19T01:11:00Z</dcterms:created>
  <dc:creator>翟伟</dc:creator>
  <cp:lastModifiedBy>zyjk1</cp:lastModifiedBy>
  <dcterms:modified xsi:type="dcterms:W3CDTF">2022-02-24T09:55:31Z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2052-11.1.0.10702</vt:lpwstr>
  </property>
  <property fmtid="{D5CDD505-2E9C-101B-9397-08002B2CF9AE}" pid="3" name="ICV">
    <vt:lpwstr>A6958D950DBC426181CA49C37B2C5793</vt:lpwstr>
  </property>
</Properties>
</file>