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879" w:rsidRPr="004F0879" w:rsidRDefault="004F0879" w:rsidP="007A71BF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三门峡市</w:t>
      </w:r>
      <w:r w:rsidR="00866ACC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工商行政管理局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湖滨分局</w:t>
      </w:r>
    </w:p>
    <w:p w:rsidR="00866ACC" w:rsidRDefault="004F0879" w:rsidP="004F0879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20</w:t>
      </w:r>
      <w:r w:rsidR="000C16F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</w:t>
      </w:r>
      <w:r w:rsidR="007A71BF"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  <w:t>1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年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项目</w:t>
      </w:r>
      <w:r w:rsidR="00D35465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支出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（</w:t>
      </w:r>
      <w:r w:rsidR="00866ACC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基层维修费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）</w:t>
      </w:r>
    </w:p>
    <w:p w:rsidR="00BA01BB" w:rsidRPr="004F0879" w:rsidRDefault="004F0879" w:rsidP="004F0879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自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评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报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告</w:t>
      </w:r>
    </w:p>
    <w:p w:rsidR="004F0879" w:rsidRDefault="004F0879" w:rsidP="004F0879">
      <w:pPr>
        <w:spacing w:line="600" w:lineRule="exact"/>
        <w:ind w:firstLineChars="200" w:firstLine="720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</w:p>
    <w:p w:rsidR="00BA01BB" w:rsidRPr="007A0A13" w:rsidRDefault="004F0879" w:rsidP="004F0879">
      <w:pPr>
        <w:spacing w:line="600" w:lineRule="exact"/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一、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项目支出基本情况</w:t>
      </w:r>
    </w:p>
    <w:p w:rsidR="00866ACC" w:rsidRDefault="00866ACC" w:rsidP="00866ACC">
      <w:pPr>
        <w:ind w:firstLineChars="200" w:firstLine="640"/>
        <w:rPr>
          <w:rFonts w:ascii="仿宋" w:eastAsia="仿宋" w:hAnsi="仿宋" w:cs="黑体"/>
          <w:color w:val="000000"/>
          <w:sz w:val="32"/>
          <w:szCs w:val="32"/>
        </w:rPr>
      </w:pPr>
      <w:r>
        <w:rPr>
          <w:rFonts w:ascii="仿宋" w:eastAsia="仿宋" w:hAnsi="仿宋" w:cs="黑体" w:hint="eastAsia"/>
          <w:color w:val="000000"/>
          <w:sz w:val="32"/>
          <w:szCs w:val="32"/>
        </w:rPr>
        <w:t>负责辖区内市场监督管理的行政管理工作；按照事权划分负责辖区市场主体统一登记注册行政审批服务事项；负责简易程序案件的查处；负责规范管理市场秩序；配合市局开展市场监督管理新闻宣传、对外交流与合作；在地方党委(党工委)组织部门的指导下，协调开展辖区小微企业、个体工商户党建工作；负责辖区消费维权及环境建设；负责辖区产品质量安全的日常监督管理；负责完成市局交办的其他任务。</w:t>
      </w:r>
    </w:p>
    <w:p w:rsidR="00866ACC" w:rsidRDefault="00866ACC" w:rsidP="00866ACC">
      <w:pPr>
        <w:pStyle w:val="2"/>
        <w:shd w:val="clear" w:color="auto" w:fill="FFFFFF"/>
        <w:spacing w:before="0" w:beforeAutospacing="0" w:after="0" w:afterAutospacing="0"/>
        <w:ind w:firstLineChars="200" w:firstLine="640"/>
        <w:textAlignment w:val="baseline"/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</w:pPr>
      <w:r>
        <w:rPr>
          <w:rFonts w:ascii="仿宋" w:eastAsia="仿宋" w:hAnsi="仿宋" w:hint="eastAsia"/>
          <w:b w:val="0"/>
          <w:bCs w:val="0"/>
          <w:sz w:val="32"/>
          <w:szCs w:val="32"/>
        </w:rPr>
        <w:t>该项目年度目标：一是规范和维护市场秩序；二是公平竞争的市场环境；三是履行市场监管职能，监管水平得以提升</w:t>
      </w:r>
      <w:r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  <w:t>；四是</w:t>
      </w:r>
      <w:r w:rsidRPr="00866ACC"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  <w:t>改善办公环境，提升市场监管形象</w:t>
      </w:r>
      <w:r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  <w:t>。</w:t>
      </w:r>
    </w:p>
    <w:p w:rsidR="004F0879" w:rsidRPr="00866ACC" w:rsidRDefault="001833FE" w:rsidP="00866ACC">
      <w:pPr>
        <w:spacing w:line="600" w:lineRule="exact"/>
        <w:ind w:firstLineChars="200" w:firstLine="640"/>
        <w:rPr>
          <w:rFonts w:ascii="仿宋" w:eastAsia="仿宋" w:hAnsi="仿宋" w:cs="仿宋_GB2312" w:hint="eastAsia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</w:t>
      </w:r>
      <w:r w:rsidR="000C16F5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</w:t>
      </w:r>
      <w:r w:rsidR="007A71BF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项目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预算收入：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基层维修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费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1</w:t>
      </w:r>
      <w:r w:rsidR="00866ACC">
        <w:rPr>
          <w:rFonts w:ascii="仿宋" w:eastAsia="仿宋" w:hAnsi="仿宋" w:cs="仿宋_GB2312"/>
          <w:bCs/>
          <w:color w:val="000000"/>
          <w:sz w:val="32"/>
          <w:szCs w:val="32"/>
        </w:rPr>
        <w:t>0.0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。截止2021年12月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3</w:t>
      </w:r>
      <w:r w:rsidR="00866ACC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日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基层维修费1</w:t>
      </w:r>
      <w:r w:rsidR="00866ACC">
        <w:rPr>
          <w:rFonts w:ascii="仿宋" w:eastAsia="仿宋" w:hAnsi="仿宋" w:cs="仿宋_GB2312"/>
          <w:bCs/>
          <w:color w:val="000000"/>
          <w:sz w:val="32"/>
          <w:szCs w:val="32"/>
        </w:rPr>
        <w:t>0.0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，</w:t>
      </w:r>
      <w:r w:rsidR="00866ACC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基层维修费</w:t>
      </w:r>
      <w:r w:rsidR="007A0A13">
        <w:rPr>
          <w:rFonts w:ascii="仿宋" w:eastAsia="仿宋" w:hAnsi="仿宋" w:hint="eastAsia"/>
          <w:sz w:val="32"/>
          <w:szCs w:val="32"/>
        </w:rPr>
        <w:t>执行率</w:t>
      </w:r>
      <w:r w:rsidR="00866ACC">
        <w:rPr>
          <w:rFonts w:ascii="仿宋" w:eastAsia="仿宋" w:hAnsi="仿宋" w:hint="eastAsia"/>
          <w:sz w:val="32"/>
          <w:szCs w:val="32"/>
        </w:rPr>
        <w:t>1</w:t>
      </w:r>
      <w:r w:rsidR="00866ACC">
        <w:rPr>
          <w:rFonts w:ascii="仿宋" w:eastAsia="仿宋" w:hAnsi="仿宋"/>
          <w:sz w:val="32"/>
          <w:szCs w:val="32"/>
        </w:rPr>
        <w:t>00</w:t>
      </w:r>
      <w:r w:rsidR="007A0A13">
        <w:rPr>
          <w:rFonts w:ascii="仿宋" w:eastAsia="仿宋" w:hAnsi="仿宋" w:hint="eastAsia"/>
          <w:sz w:val="32"/>
          <w:szCs w:val="32"/>
        </w:rPr>
        <w:t>%</w:t>
      </w:r>
      <w:r w:rsidR="007A0A13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二、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绩效自评工作开展情况</w:t>
      </w:r>
    </w:p>
    <w:p w:rsidR="00BA01BB" w:rsidRPr="007A71BF" w:rsidRDefault="00625631" w:rsidP="004F0879">
      <w:pPr>
        <w:ind w:firstLineChars="200"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并</w:t>
      </w:r>
      <w:r w:rsidR="001833FE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严格按照要求开展项目绩效自评工作，并按时完成汇总上</w:t>
      </w:r>
      <w:r w:rsidR="001833FE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lastRenderedPageBreak/>
        <w:t>报。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三、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绩效自评结果及分析</w:t>
      </w:r>
    </w:p>
    <w:p w:rsidR="00866ACC" w:rsidRDefault="00866ACC" w:rsidP="00866ACC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截止202</w:t>
      </w:r>
      <w:r>
        <w:rPr>
          <w:rFonts w:ascii="仿宋" w:eastAsia="仿宋" w:hAnsi="仿宋"/>
          <w:color w:val="333333"/>
          <w:sz w:val="32"/>
          <w:szCs w:val="32"/>
        </w:rPr>
        <w:t>1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年12月</w:t>
      </w:r>
      <w:r>
        <w:rPr>
          <w:rFonts w:ascii="仿宋" w:eastAsia="仿宋" w:hAnsi="仿宋" w:hint="eastAsia"/>
          <w:color w:val="333333"/>
          <w:sz w:val="32"/>
          <w:szCs w:val="32"/>
        </w:rPr>
        <w:t>3</w:t>
      </w:r>
      <w:r>
        <w:rPr>
          <w:rFonts w:ascii="仿宋" w:eastAsia="仿宋" w:hAnsi="仿宋"/>
          <w:color w:val="333333"/>
          <w:sz w:val="32"/>
          <w:szCs w:val="32"/>
        </w:rPr>
        <w:t>1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，自评结果为“</w:t>
      </w:r>
      <w:r>
        <w:rPr>
          <w:rFonts w:ascii="仿宋" w:eastAsia="仿宋" w:hAnsi="仿宋" w:hint="eastAsia"/>
          <w:color w:val="333333"/>
          <w:sz w:val="32"/>
          <w:szCs w:val="32"/>
        </w:rPr>
        <w:t>优秀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202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年分局完成绩效目标的项目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个，指标完成有偏差的项目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个、偏差较大（20%及以上）的项目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个，存在偏差的指标占比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%。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</w:t>
      </w:r>
      <w:r>
        <w:rPr>
          <w:rFonts w:ascii="仿宋" w:eastAsia="仿宋" w:hAnsi="仿宋" w:hint="eastAsia"/>
          <w:color w:val="333333"/>
          <w:sz w:val="32"/>
          <w:szCs w:val="32"/>
        </w:rPr>
        <w:t>应有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的效益。</w:t>
      </w:r>
    </w:p>
    <w:p w:rsidR="00866ACC" w:rsidRPr="00866ACC" w:rsidRDefault="00866ACC" w:rsidP="00866ACC">
      <w:pPr>
        <w:spacing w:line="600" w:lineRule="exact"/>
        <w:ind w:firstLineChars="200" w:firstLine="640"/>
        <w:rPr>
          <w:rFonts w:ascii="仿宋" w:eastAsia="仿宋" w:hAnsi="仿宋" w:cs="仿宋_GB2312" w:hint="eastAsia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202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项目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预算收入：基层维修费1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0.0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万元。截止2021年12月3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日基层维修费1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0.0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万元，基层维修费</w:t>
      </w:r>
      <w:r>
        <w:rPr>
          <w:rFonts w:ascii="仿宋" w:eastAsia="仿宋" w:hAnsi="仿宋" w:hint="eastAsia"/>
          <w:sz w:val="32"/>
          <w:szCs w:val="32"/>
        </w:rPr>
        <w:t>执行率1</w:t>
      </w:r>
      <w:r>
        <w:rPr>
          <w:rFonts w:ascii="仿宋" w:eastAsia="仿宋" w:hAnsi="仿宋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四、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自评发现的问题及整改措施</w:t>
      </w:r>
    </w:p>
    <w:p w:rsidR="003C6579" w:rsidRPr="00866ACC" w:rsidRDefault="001833FE" w:rsidP="00866ACC">
      <w:pPr>
        <w:ind w:firstLineChars="150" w:firstLine="480"/>
        <w:rPr>
          <w:rFonts w:ascii="仿宋" w:eastAsia="仿宋" w:hAnsi="仿宋" w:cs="黑体" w:hint="eastAsia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支出金额和预算执行率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为主，没有深入查找剖析项目实施过程中存在的问题,并提出相对应的改进措施；三是由于分局项目</w:t>
      </w:r>
      <w:r w:rsidR="00866ACC">
        <w:rPr>
          <w:rFonts w:ascii="仿宋" w:eastAsia="仿宋" w:hAnsi="仿宋" w:hint="eastAsia"/>
          <w:color w:val="333333"/>
          <w:sz w:val="32"/>
          <w:szCs w:val="32"/>
        </w:rPr>
        <w:t>多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，对绩效自评工作不够重视。</w:t>
      </w:r>
      <w:bookmarkStart w:id="0" w:name="_GoBack"/>
      <w:bookmarkEnd w:id="0"/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五、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绩效自评工作建议及预算安排建议</w:t>
      </w:r>
    </w:p>
    <w:p w:rsidR="00BA01BB" w:rsidRPr="007A71BF" w:rsidRDefault="004F0879" w:rsidP="004F0879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在今后财务工作中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lastRenderedPageBreak/>
        <w:t>科室要积极配合财务部门工作，提供绩效管理的各项资料，形成预算绩效管理的合力。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六、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其他需要说明的问题</w:t>
      </w:r>
    </w:p>
    <w:p w:rsidR="00BA01BB" w:rsidRPr="007A71BF" w:rsidRDefault="001833FE" w:rsidP="004F0879">
      <w:pPr>
        <w:ind w:firstLine="58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无</w:t>
      </w:r>
      <w:r w:rsidR="004F0879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4F0879" w:rsidRDefault="004F0879" w:rsidP="004F0879"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 w:rsidR="00BA01BB" w:rsidRDefault="00BA01BB" w:rsidP="004F0879">
      <w:pPr>
        <w:ind w:right="640" w:firstLineChars="1380" w:firstLine="4416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 w:rsidR="00BA01BB" w:rsidSect="00BA0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AA5" w:rsidRDefault="00AD0AA5" w:rsidP="004F0879">
      <w:r>
        <w:separator/>
      </w:r>
    </w:p>
  </w:endnote>
  <w:endnote w:type="continuationSeparator" w:id="0">
    <w:p w:rsidR="00AD0AA5" w:rsidRDefault="00AD0AA5" w:rsidP="004F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AA5" w:rsidRDefault="00AD0AA5" w:rsidP="004F0879">
      <w:r>
        <w:separator/>
      </w:r>
    </w:p>
  </w:footnote>
  <w:footnote w:type="continuationSeparator" w:id="0">
    <w:p w:rsidR="00AD0AA5" w:rsidRDefault="00AD0AA5" w:rsidP="004F0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5EE82B"/>
    <w:multiLevelType w:val="singleLevel"/>
    <w:tmpl w:val="825EE82B"/>
    <w:lvl w:ilvl="0">
      <w:start w:val="1"/>
      <w:numFmt w:val="chineseCounting"/>
      <w:suff w:val="nothing"/>
      <w:lvlText w:val="（%1）"/>
      <w:lvlJc w:val="left"/>
      <w:pPr>
        <w:ind w:left="280" w:firstLine="0"/>
      </w:pPr>
      <w:rPr>
        <w:rFonts w:hint="eastAsia"/>
      </w:rPr>
    </w:lvl>
  </w:abstractNum>
  <w:abstractNum w:abstractNumId="1" w15:restartNumberingAfterBreak="0">
    <w:nsid w:val="996AB8D6"/>
    <w:multiLevelType w:val="singleLevel"/>
    <w:tmpl w:val="996AB8D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7032F9"/>
    <w:rsid w:val="000C16F5"/>
    <w:rsid w:val="000E6D9B"/>
    <w:rsid w:val="00163016"/>
    <w:rsid w:val="001833FE"/>
    <w:rsid w:val="00220587"/>
    <w:rsid w:val="003A2170"/>
    <w:rsid w:val="003C6579"/>
    <w:rsid w:val="004C69D7"/>
    <w:rsid w:val="004F0879"/>
    <w:rsid w:val="00513A99"/>
    <w:rsid w:val="00625631"/>
    <w:rsid w:val="00770EB2"/>
    <w:rsid w:val="007A0A13"/>
    <w:rsid w:val="007A71BF"/>
    <w:rsid w:val="007B73D9"/>
    <w:rsid w:val="00866ACC"/>
    <w:rsid w:val="00944269"/>
    <w:rsid w:val="00A45D1D"/>
    <w:rsid w:val="00AD0AA5"/>
    <w:rsid w:val="00BA01BB"/>
    <w:rsid w:val="00C80F9A"/>
    <w:rsid w:val="00D1281E"/>
    <w:rsid w:val="00D35465"/>
    <w:rsid w:val="29884231"/>
    <w:rsid w:val="3D8D3E54"/>
    <w:rsid w:val="49886A39"/>
    <w:rsid w:val="5C7032F9"/>
    <w:rsid w:val="70A13019"/>
    <w:rsid w:val="740E440C"/>
    <w:rsid w:val="7E0D5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80194"/>
  <w15:docId w15:val="{94AC832E-0605-4A3C-8B21-ADAA086D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01BB"/>
    <w:pPr>
      <w:widowControl w:val="0"/>
      <w:jc w:val="both"/>
    </w:pPr>
    <w:rPr>
      <w:rFonts w:ascii="Times New Roman" w:eastAsia="仿宋_GB2312" w:hAnsi="Times New Roman"/>
      <w:kern w:val="2"/>
      <w:sz w:val="30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866AC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4F0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4F08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0">
    <w:name w:val="标题 2 字符"/>
    <w:basedOn w:val="a0"/>
    <w:link w:val="2"/>
    <w:uiPriority w:val="9"/>
    <w:semiHidden/>
    <w:rsid w:val="00866ACC"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0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145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平凡一生</dc:creator>
  <cp:lastModifiedBy>Administrator</cp:lastModifiedBy>
  <cp:revision>15</cp:revision>
  <dcterms:created xsi:type="dcterms:W3CDTF">2021-04-08T02:33:00Z</dcterms:created>
  <dcterms:modified xsi:type="dcterms:W3CDTF">2022-04-26T01:45:00Z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