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color w:val="auto"/>
          <w:sz w:val="44"/>
          <w:szCs w:val="44"/>
          <w:lang w:val="en-US" w:eastAsia="zh-CN"/>
        </w:rPr>
      </w:pPr>
      <w:r>
        <w:rPr>
          <w:rFonts w:hint="eastAsia" w:asciiTheme="majorEastAsia" w:hAnsiTheme="majorEastAsia" w:eastAsiaTheme="majorEastAsia" w:cstheme="majorEastAsia"/>
          <w:b/>
          <w:bCs/>
          <w:color w:val="auto"/>
          <w:sz w:val="44"/>
          <w:szCs w:val="44"/>
          <w:lang w:val="en-US" w:eastAsia="zh-CN"/>
        </w:rPr>
        <w:t>2021年度原国家基本公共卫生服务项目</w:t>
      </w:r>
    </w:p>
    <w:p>
      <w:pPr>
        <w:jc w:val="center"/>
        <w:rPr>
          <w:rFonts w:hint="eastAsia" w:asciiTheme="majorEastAsia" w:hAnsiTheme="majorEastAsia" w:eastAsiaTheme="majorEastAsia" w:cstheme="majorEastAsia"/>
          <w:b/>
          <w:bCs/>
          <w:color w:val="auto"/>
          <w:sz w:val="44"/>
          <w:szCs w:val="44"/>
          <w:lang w:val="en-US" w:eastAsia="zh-CN"/>
        </w:rPr>
      </w:pPr>
      <w:r>
        <w:rPr>
          <w:rFonts w:hint="eastAsia" w:asciiTheme="majorEastAsia" w:hAnsiTheme="majorEastAsia" w:eastAsiaTheme="majorEastAsia" w:cstheme="majorEastAsia"/>
          <w:b/>
          <w:bCs/>
          <w:color w:val="auto"/>
          <w:sz w:val="44"/>
          <w:szCs w:val="44"/>
          <w:lang w:val="en-US" w:eastAsia="zh-CN"/>
        </w:rPr>
        <w:t>专项转移支付绩效自评报告</w:t>
      </w:r>
    </w:p>
    <w:p>
      <w:pPr>
        <w:jc w:val="center"/>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三门峡市卫生健康委基层卫生健康科</w:t>
      </w:r>
    </w:p>
    <w:p>
      <w:pPr>
        <w:jc w:val="center"/>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（2022年4月25日）</w:t>
      </w:r>
    </w:p>
    <w:p>
      <w:pPr>
        <w:jc w:val="center"/>
        <w:rPr>
          <w:rFonts w:hint="eastAsia" w:ascii="楷体" w:hAnsi="楷体" w:eastAsia="楷体" w:cs="楷体"/>
          <w:b/>
          <w:bCs/>
          <w:color w:val="auto"/>
          <w:sz w:val="32"/>
          <w:szCs w:val="32"/>
          <w:lang w:val="en-US" w:eastAsia="zh-CN"/>
        </w:rPr>
      </w:pPr>
    </w:p>
    <w:p>
      <w:pPr>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 xml:space="preserve">    一、绩效目标下达情况</w:t>
      </w:r>
    </w:p>
    <w:p>
      <w:pPr>
        <w:keepNext w:val="0"/>
        <w:keepLines w:val="0"/>
        <w:pageBreakBefore w:val="0"/>
        <w:widowControl/>
        <w:kinsoku/>
        <w:wordWrap w:val="0"/>
        <w:bidi w:val="0"/>
        <w:spacing w:line="600" w:lineRule="exact"/>
        <w:ind w:right="0" w:rightChars="0"/>
        <w:jc w:val="both"/>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《河南省财政厅</w:t>
      </w: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河南省卫健委关于提前下达</w:t>
      </w:r>
      <w:r>
        <w:rPr>
          <w:rFonts w:hint="eastAsia" w:ascii="仿宋" w:hAnsi="仿宋" w:eastAsia="仿宋" w:cs="仿宋"/>
          <w:b w:val="0"/>
          <w:bCs w:val="0"/>
          <w:color w:val="auto"/>
          <w:sz w:val="32"/>
          <w:szCs w:val="32"/>
          <w:lang w:val="en-US" w:eastAsia="zh-CN"/>
        </w:rPr>
        <w:t>2021年基本公共卫生服务中央和省级补助资金预算的通知</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豫</w:t>
      </w: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20</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236</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）下达我市资金预算指标</w:t>
      </w:r>
      <w:r>
        <w:rPr>
          <w:rFonts w:hint="eastAsia" w:ascii="仿宋" w:hAnsi="仿宋" w:eastAsia="仿宋" w:cs="仿宋"/>
          <w:b w:val="0"/>
          <w:bCs w:val="0"/>
          <w:color w:val="auto"/>
          <w:sz w:val="32"/>
          <w:szCs w:val="32"/>
          <w:lang w:val="en-US" w:eastAsia="zh-CN"/>
        </w:rPr>
        <w:t>10968万元，其中：</w:t>
      </w:r>
      <w:r>
        <w:rPr>
          <w:rFonts w:hint="eastAsia" w:ascii="仿宋" w:hAnsi="仿宋" w:eastAsia="仿宋" w:cs="仿宋"/>
          <w:b w:val="0"/>
          <w:bCs w:val="0"/>
          <w:i w:val="0"/>
          <w:color w:val="auto"/>
          <w:kern w:val="0"/>
          <w:sz w:val="32"/>
          <w:szCs w:val="32"/>
          <w:u w:val="none"/>
          <w:lang w:val="en-US" w:eastAsia="zh-CN"/>
        </w:rPr>
        <w:t>中央</w:t>
      </w:r>
      <w:r>
        <w:rPr>
          <w:rFonts w:hint="eastAsia" w:ascii="仿宋" w:hAnsi="仿宋" w:eastAsia="仿宋" w:cs="仿宋"/>
          <w:b w:val="0"/>
          <w:bCs w:val="0"/>
          <w:color w:val="auto"/>
          <w:sz w:val="32"/>
          <w:szCs w:val="32"/>
          <w:lang w:val="en-US" w:eastAsia="zh-CN"/>
        </w:rPr>
        <w:t>补助资金8413.9</w:t>
      </w:r>
      <w:r>
        <w:rPr>
          <w:rFonts w:hint="eastAsia" w:ascii="仿宋" w:hAnsi="仿宋" w:eastAsia="仿宋" w:cs="仿宋"/>
          <w:b w:val="0"/>
          <w:bCs w:val="0"/>
          <w:i w:val="0"/>
          <w:color w:val="auto"/>
          <w:kern w:val="0"/>
          <w:sz w:val="32"/>
          <w:szCs w:val="32"/>
          <w:u w:val="none"/>
          <w:lang w:val="en-US" w:eastAsia="zh-CN"/>
        </w:rPr>
        <w:t>万元、省级补助资金2554.1万元。</w:t>
      </w:r>
    </w:p>
    <w:p>
      <w:pPr>
        <w:keepNext w:val="0"/>
        <w:keepLines w:val="0"/>
        <w:pageBreakBefore w:val="0"/>
        <w:widowControl/>
        <w:kinsoku/>
        <w:wordWrap w:val="0"/>
        <w:bidi w:val="0"/>
        <w:spacing w:line="600" w:lineRule="exact"/>
        <w:ind w:right="0" w:rightChars="0"/>
        <w:jc w:val="both"/>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《河南省财政厅</w:t>
      </w: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河南省卫生健康委员会关于下达</w:t>
      </w:r>
      <w:r>
        <w:rPr>
          <w:rFonts w:hint="eastAsia" w:ascii="仿宋" w:hAnsi="仿宋" w:eastAsia="仿宋" w:cs="仿宋"/>
          <w:b w:val="0"/>
          <w:bCs w:val="0"/>
          <w:color w:val="auto"/>
          <w:sz w:val="32"/>
          <w:szCs w:val="32"/>
          <w:lang w:val="en-US" w:eastAsia="zh-CN"/>
        </w:rPr>
        <w:t>2021年基本公共卫生服务项目补助资金预算的通知</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豫</w:t>
      </w: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47</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）下达我市补助资金</w:t>
      </w:r>
      <w:r>
        <w:rPr>
          <w:rFonts w:hint="eastAsia" w:ascii="仿宋" w:hAnsi="仿宋" w:eastAsia="仿宋" w:cs="仿宋"/>
          <w:b w:val="0"/>
          <w:bCs w:val="0"/>
          <w:color w:val="auto"/>
          <w:sz w:val="32"/>
          <w:szCs w:val="32"/>
          <w:lang w:val="en-US" w:eastAsia="zh-CN"/>
        </w:rPr>
        <w:t>2158.8万元，其中：</w:t>
      </w:r>
      <w:r>
        <w:rPr>
          <w:rFonts w:hint="eastAsia" w:ascii="仿宋" w:hAnsi="仿宋" w:eastAsia="仿宋" w:cs="仿宋"/>
          <w:b w:val="0"/>
          <w:bCs w:val="0"/>
          <w:i w:val="0"/>
          <w:color w:val="auto"/>
          <w:kern w:val="0"/>
          <w:sz w:val="32"/>
          <w:szCs w:val="32"/>
          <w:u w:val="none"/>
          <w:lang w:val="en-US" w:eastAsia="zh-CN"/>
        </w:rPr>
        <w:t>中央</w:t>
      </w:r>
      <w:r>
        <w:rPr>
          <w:rFonts w:hint="eastAsia" w:ascii="仿宋" w:hAnsi="仿宋" w:eastAsia="仿宋" w:cs="仿宋"/>
          <w:b w:val="0"/>
          <w:bCs w:val="0"/>
          <w:color w:val="auto"/>
          <w:sz w:val="32"/>
          <w:szCs w:val="32"/>
          <w:lang w:val="en-US" w:eastAsia="zh-CN"/>
        </w:rPr>
        <w:t>补助资金1651.8</w:t>
      </w:r>
      <w:r>
        <w:rPr>
          <w:rFonts w:hint="eastAsia" w:ascii="仿宋" w:hAnsi="仿宋" w:eastAsia="仿宋" w:cs="仿宋"/>
          <w:b w:val="0"/>
          <w:bCs w:val="0"/>
          <w:i w:val="0"/>
          <w:color w:val="auto"/>
          <w:kern w:val="0"/>
          <w:sz w:val="32"/>
          <w:szCs w:val="32"/>
          <w:u w:val="none"/>
          <w:lang w:val="en-US" w:eastAsia="zh-CN"/>
        </w:rPr>
        <w:t>万元、省级补助资金507万元。</w:t>
      </w:r>
    </w:p>
    <w:p>
      <w:pPr>
        <w:keepNext w:val="0"/>
        <w:keepLines w:val="0"/>
        <w:pageBreakBefore w:val="0"/>
        <w:kinsoku/>
        <w:overflowPunct w:val="0"/>
        <w:autoSpaceDE w:val="0"/>
        <w:autoSpaceDN w:val="0"/>
        <w:bidi w:val="0"/>
        <w:snapToGrid w:val="0"/>
        <w:spacing w:line="600" w:lineRule="exact"/>
        <w:ind w:left="0" w:leftChars="0" w:right="0" w:rightChars="0" w:firstLine="640"/>
        <w:jc w:val="left"/>
        <w:textAlignment w:val="auto"/>
        <w:outlineLvl w:val="9"/>
        <w:rPr>
          <w:rFonts w:hint="eastAsia" w:ascii="仿宋" w:hAnsi="仿宋" w:eastAsia="仿宋" w:cs="仿宋"/>
          <w:b w:val="0"/>
          <w:bCs w:val="0"/>
          <w:i w:val="0"/>
          <w:color w:val="auto"/>
          <w:kern w:val="0"/>
          <w:sz w:val="32"/>
          <w:szCs w:val="32"/>
          <w:u w:val="none"/>
          <w:lang w:val="en-US" w:eastAsia="zh-CN"/>
        </w:rPr>
      </w:pPr>
      <w:r>
        <w:rPr>
          <w:rFonts w:hint="eastAsia" w:ascii="仿宋" w:hAnsi="仿宋" w:eastAsia="仿宋" w:cs="仿宋"/>
          <w:b w:val="0"/>
          <w:bCs w:val="0"/>
          <w:color w:val="auto"/>
          <w:sz w:val="32"/>
          <w:szCs w:val="32"/>
          <w:lang w:eastAsia="zh-CN"/>
        </w:rPr>
        <w:t>中央、省财政补助资金</w:t>
      </w:r>
      <w:r>
        <w:rPr>
          <w:rFonts w:hint="eastAsia" w:ascii="仿宋" w:hAnsi="仿宋" w:eastAsia="仿宋" w:cs="仿宋"/>
          <w:b w:val="0"/>
          <w:bCs w:val="0"/>
          <w:color w:val="auto"/>
          <w:sz w:val="32"/>
          <w:szCs w:val="32"/>
          <w:lang w:val="en-US" w:eastAsia="zh-CN"/>
        </w:rPr>
        <w:t>2次共计13126.8万元，其中：中央：10065.7</w:t>
      </w:r>
      <w:r>
        <w:rPr>
          <w:rFonts w:hint="eastAsia" w:ascii="仿宋" w:hAnsi="仿宋" w:eastAsia="仿宋" w:cs="仿宋"/>
          <w:b w:val="0"/>
          <w:bCs w:val="0"/>
          <w:i w:val="0"/>
          <w:color w:val="auto"/>
          <w:kern w:val="0"/>
          <w:sz w:val="32"/>
          <w:szCs w:val="32"/>
          <w:u w:val="none"/>
          <w:lang w:val="en-US" w:eastAsia="zh-CN"/>
        </w:rPr>
        <w:t>万元、省级3061.1万元。</w:t>
      </w:r>
    </w:p>
    <w:p>
      <w:pPr>
        <w:jc w:val="center"/>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《河南省卫生健康委</w:t>
      </w:r>
      <w:r>
        <w:rPr>
          <w:rFonts w:hint="eastAsia" w:ascii="仿宋" w:hAnsi="仿宋" w:eastAsia="仿宋" w:cs="仿宋"/>
          <w:color w:val="auto"/>
          <w:sz w:val="32"/>
          <w:szCs w:val="32"/>
        </w:rPr>
        <w:t>关于做好202</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年基本公共卫生服务项目</w:t>
      </w:r>
      <w:r>
        <w:rPr>
          <w:rFonts w:hint="eastAsia" w:ascii="仿宋" w:hAnsi="仿宋" w:eastAsia="仿宋" w:cs="仿宋"/>
          <w:color w:val="auto"/>
          <w:sz w:val="32"/>
          <w:szCs w:val="32"/>
          <w:lang w:eastAsia="zh-CN"/>
        </w:rPr>
        <w:t>工</w:t>
      </w:r>
      <w:r>
        <w:rPr>
          <w:rFonts w:hint="eastAsia" w:ascii="仿宋" w:hAnsi="仿宋" w:eastAsia="仿宋" w:cs="仿宋"/>
          <w:color w:val="auto"/>
          <w:sz w:val="32"/>
          <w:szCs w:val="32"/>
        </w:rPr>
        <w:t>作的通知</w:t>
      </w:r>
      <w:r>
        <w:rPr>
          <w:rFonts w:hint="eastAsia" w:ascii="仿宋" w:hAnsi="仿宋" w:eastAsia="仿宋" w:cs="仿宋"/>
          <w:b w:val="0"/>
          <w:bCs w:val="0"/>
          <w:color w:val="auto"/>
          <w:sz w:val="32"/>
          <w:szCs w:val="32"/>
          <w:lang w:val="en-US" w:eastAsia="zh-CN"/>
        </w:rPr>
        <w:t>》（</w:t>
      </w:r>
      <w:r>
        <w:rPr>
          <w:rFonts w:hint="eastAsia" w:ascii="仿宋" w:hAnsi="仿宋" w:eastAsia="仿宋" w:cs="仿宋"/>
          <w:color w:val="auto"/>
          <w:sz w:val="32"/>
          <w:szCs w:val="32"/>
        </w:rPr>
        <w:t>豫卫基层〔202</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号</w:t>
      </w:r>
      <w:r>
        <w:rPr>
          <w:rFonts w:hint="eastAsia" w:ascii="仿宋" w:hAnsi="仿宋" w:eastAsia="仿宋" w:cs="仿宋"/>
          <w:b w:val="0"/>
          <w:bCs w:val="0"/>
          <w:color w:val="auto"/>
          <w:sz w:val="32"/>
          <w:szCs w:val="32"/>
          <w:lang w:val="en-US" w:eastAsia="zh-CN"/>
        </w:rPr>
        <w:t>），明确“</w:t>
      </w:r>
      <w:r>
        <w:rPr>
          <w:rFonts w:hint="eastAsia" w:ascii="仿宋" w:hAnsi="仿宋" w:eastAsia="仿宋" w:cs="仿宋"/>
          <w:bCs/>
          <w:color w:val="auto"/>
          <w:sz w:val="32"/>
          <w:szCs w:val="32"/>
        </w:rPr>
        <w:t>河南省202</w:t>
      </w:r>
      <w:r>
        <w:rPr>
          <w:rFonts w:hint="eastAsia" w:ascii="仿宋" w:hAnsi="仿宋" w:eastAsia="仿宋" w:cs="仿宋"/>
          <w:bCs/>
          <w:color w:val="auto"/>
          <w:sz w:val="32"/>
          <w:szCs w:val="32"/>
          <w:lang w:val="en-US" w:eastAsia="zh-CN"/>
        </w:rPr>
        <w:t>1</w:t>
      </w:r>
      <w:r>
        <w:rPr>
          <w:rFonts w:hint="eastAsia" w:ascii="仿宋" w:hAnsi="仿宋" w:eastAsia="仿宋" w:cs="仿宋"/>
          <w:bCs/>
          <w:color w:val="auto"/>
          <w:sz w:val="32"/>
          <w:szCs w:val="32"/>
        </w:rPr>
        <w:t>年</w:t>
      </w:r>
      <w:r>
        <w:rPr>
          <w:rFonts w:hint="eastAsia" w:ascii="仿宋" w:hAnsi="仿宋" w:eastAsia="仿宋" w:cs="仿宋"/>
          <w:bCs/>
          <w:color w:val="auto"/>
          <w:sz w:val="32"/>
          <w:szCs w:val="32"/>
          <w:lang w:val="en-US" w:eastAsia="zh-CN"/>
        </w:rPr>
        <w:t>原</w:t>
      </w:r>
      <w:r>
        <w:rPr>
          <w:rFonts w:hint="eastAsia" w:ascii="仿宋" w:hAnsi="仿宋" w:eastAsia="仿宋" w:cs="仿宋"/>
          <w:bCs/>
          <w:color w:val="auto"/>
          <w:sz w:val="32"/>
          <w:szCs w:val="32"/>
        </w:rPr>
        <w:t>国家基本公共卫生服务项目主要目标任务</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rPr>
        <w:t>以县（区、市）为单位</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val="en-US" w:eastAsia="zh-CN"/>
        </w:rPr>
        <w:t>：</w:t>
      </w:r>
    </w:p>
    <w:p>
      <w:pPr>
        <w:adjustRightInd w:val="0"/>
        <w:snapToGrid w:val="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电子健康档案建档率达到90%以上，稳步提高使用率</w:t>
      </w:r>
      <w:r>
        <w:rPr>
          <w:rFonts w:hint="eastAsia" w:ascii="仿宋_GB2312" w:eastAsia="仿宋_GB2312"/>
          <w:color w:val="auto"/>
          <w:sz w:val="32"/>
          <w:szCs w:val="32"/>
          <w:lang w:eastAsia="zh-CN"/>
        </w:rPr>
        <w:t>；</w:t>
      </w:r>
    </w:p>
    <w:p>
      <w:pPr>
        <w:adjustRightInd w:val="0"/>
        <w:snapToGrid w:val="0"/>
        <w:spacing w:line="560" w:lineRule="exact"/>
        <w:rPr>
          <w:rFonts w:ascii="仿宋_GB2312" w:hAnsi="Arial" w:eastAsia="仿宋_GB2312" w:cs="Arial"/>
          <w:color w:val="auto"/>
          <w:sz w:val="32"/>
          <w:szCs w:val="32"/>
        </w:rPr>
      </w:pPr>
      <w:r>
        <w:rPr>
          <w:rFonts w:hint="eastAsia" w:ascii="仿宋_GB2312" w:eastAsia="仿宋_GB2312" w:cs="仿宋_GB2312"/>
          <w:color w:val="auto"/>
          <w:sz w:val="32"/>
          <w:szCs w:val="32"/>
          <w:lang w:val="en-US" w:eastAsia="zh-CN"/>
        </w:rPr>
        <w:t xml:space="preserve">    2、</w:t>
      </w:r>
      <w:r>
        <w:rPr>
          <w:rFonts w:hint="eastAsia" w:ascii="仿宋_GB2312" w:eastAsia="仿宋_GB2312" w:cs="仿宋_GB2312"/>
          <w:color w:val="auto"/>
          <w:sz w:val="32"/>
          <w:szCs w:val="32"/>
        </w:rPr>
        <w:t>各乡镇、街道适龄儿童国家免疫规划疫苗接种率保持在90%以上</w:t>
      </w:r>
      <w:r>
        <w:rPr>
          <w:rFonts w:hint="eastAsia" w:ascii="仿宋_GB2312" w:eastAsia="仿宋_GB2312" w:cs="仿宋_GB2312"/>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3、</w:t>
      </w:r>
      <w:r>
        <w:rPr>
          <w:rFonts w:hint="eastAsia" w:ascii="仿宋_GB2312" w:hAnsi="Arial" w:eastAsia="仿宋_GB2312" w:cs="Arial"/>
          <w:color w:val="auto"/>
          <w:sz w:val="32"/>
          <w:szCs w:val="32"/>
        </w:rPr>
        <w:t>0～6岁儿童健康管理率达到90%以上,眼保健和视力检查覆盖率达到90%</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4、孕产妇系统管理率</w:t>
      </w:r>
      <w:r>
        <w:rPr>
          <w:rFonts w:hint="eastAsia" w:ascii="仿宋_GB2312" w:hAnsi="Arial" w:eastAsia="仿宋_GB2312" w:cs="Arial"/>
          <w:color w:val="auto"/>
          <w:sz w:val="32"/>
          <w:szCs w:val="32"/>
        </w:rPr>
        <w:t>达到90%以上</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5、65岁及以上</w:t>
      </w:r>
      <w:r>
        <w:rPr>
          <w:rFonts w:hint="eastAsia" w:ascii="仿宋_GB2312" w:hAnsi="Arial" w:eastAsia="仿宋_GB2312" w:cs="Arial"/>
          <w:color w:val="auto"/>
          <w:sz w:val="32"/>
          <w:szCs w:val="32"/>
        </w:rPr>
        <w:t>老年人健康管理率达到70%以上</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6、</w:t>
      </w:r>
      <w:r>
        <w:rPr>
          <w:rFonts w:hint="eastAsia" w:ascii="仿宋_GB2312" w:hAnsi="Arial" w:eastAsia="仿宋_GB2312" w:cs="Arial"/>
          <w:color w:val="auto"/>
          <w:sz w:val="32"/>
          <w:szCs w:val="32"/>
        </w:rPr>
        <w:t>高血压患者管理人数稳步提高，规范管理率达到60%以上</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7、</w:t>
      </w:r>
      <w:r>
        <w:rPr>
          <w:rFonts w:hint="eastAsia" w:ascii="仿宋_GB2312" w:hAnsi="Arial" w:eastAsia="仿宋_GB2312" w:cs="Arial"/>
          <w:color w:val="auto"/>
          <w:sz w:val="32"/>
          <w:szCs w:val="32"/>
        </w:rPr>
        <w:t>2型糖尿病患者管理人数稳步提高，规范管理率达到60%以上</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8、</w:t>
      </w:r>
      <w:r>
        <w:rPr>
          <w:rFonts w:hint="eastAsia" w:ascii="仿宋_GB2312" w:hAnsi="Arial" w:eastAsia="仿宋_GB2312" w:cs="Arial"/>
          <w:color w:val="auto"/>
          <w:sz w:val="32"/>
          <w:szCs w:val="32"/>
        </w:rPr>
        <w:t>严重精神障碍患者管理人数稳步提高，规范管理率达到80%以上</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9、</w:t>
      </w:r>
      <w:r>
        <w:rPr>
          <w:rFonts w:hint="eastAsia" w:ascii="仿宋_GB2312" w:hAnsi="Arial" w:eastAsia="仿宋_GB2312" w:cs="Arial"/>
          <w:color w:val="auto"/>
          <w:sz w:val="32"/>
          <w:szCs w:val="32"/>
        </w:rPr>
        <w:t>肺结核患者管理率达到90%以上</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10、</w:t>
      </w:r>
      <w:r>
        <w:rPr>
          <w:rFonts w:hint="eastAsia" w:ascii="仿宋_GB2312" w:hAnsi="Arial" w:eastAsia="仿宋_GB2312" w:cs="Arial"/>
          <w:color w:val="auto"/>
          <w:sz w:val="32"/>
          <w:szCs w:val="32"/>
        </w:rPr>
        <w:t>老年人、儿童中医药健康管理率分别达到65%以上</w:t>
      </w:r>
      <w:r>
        <w:rPr>
          <w:rFonts w:hint="eastAsia" w:ascii="仿宋_GB2312" w:hAnsi="Arial" w:eastAsia="仿宋_GB2312" w:cs="Arial"/>
          <w:color w:val="auto"/>
          <w:sz w:val="32"/>
          <w:szCs w:val="32"/>
          <w:lang w:eastAsia="zh-CN"/>
        </w:rPr>
        <w:t>；</w:t>
      </w:r>
    </w:p>
    <w:p>
      <w:pPr>
        <w:adjustRightInd w:val="0"/>
        <w:snapToGrid w:val="0"/>
        <w:spacing w:line="560" w:lineRule="exact"/>
        <w:ind w:firstLine="640" w:firstLineChars="200"/>
        <w:rPr>
          <w:rFonts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11、</w:t>
      </w:r>
      <w:r>
        <w:rPr>
          <w:rFonts w:hint="eastAsia" w:ascii="仿宋_GB2312" w:hAnsi="Arial" w:eastAsia="仿宋_GB2312" w:cs="Arial"/>
          <w:color w:val="auto"/>
          <w:sz w:val="32"/>
          <w:szCs w:val="32"/>
        </w:rPr>
        <w:t>传染病、突发公共卫生事件报告率分别达到95%以上</w:t>
      </w:r>
      <w:r>
        <w:rPr>
          <w:rFonts w:hint="eastAsia" w:ascii="仿宋_GB2312" w:hAnsi="Arial" w:eastAsia="仿宋_GB2312" w:cs="Arial"/>
          <w:color w:val="auto"/>
          <w:sz w:val="32"/>
          <w:szCs w:val="32"/>
          <w:lang w:eastAsia="zh-CN"/>
        </w:rPr>
        <w:t>。</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 xml:space="preserve">     二、绩效目标完成情况分析</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楷体" w:hAnsi="楷体" w:eastAsia="楷体" w:cs="楷体"/>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楷体" w:hAnsi="楷体" w:eastAsia="楷体" w:cs="楷体"/>
          <w:b/>
          <w:bCs/>
          <w:color w:val="auto"/>
          <w:sz w:val="32"/>
          <w:szCs w:val="32"/>
          <w:lang w:val="en-US" w:eastAsia="zh-CN"/>
        </w:rPr>
        <w:t xml:space="preserve"> （一）资金投入情况分析。</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1、项目资金到位情况分析。</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val="en-US" w:eastAsia="zh-CN"/>
        </w:rPr>
        <w:t xml:space="preserve">    （1）中央、省项目资金投入情况。</w:t>
      </w:r>
      <w:r>
        <w:rPr>
          <w:rFonts w:hint="eastAsia" w:ascii="仿宋" w:hAnsi="仿宋" w:eastAsia="仿宋" w:cs="仿宋"/>
          <w:color w:val="auto"/>
          <w:sz w:val="32"/>
          <w:szCs w:val="32"/>
          <w:lang w:val="en-US" w:eastAsia="zh-CN"/>
        </w:rPr>
        <w:t>中央、省项目提前资金</w:t>
      </w:r>
      <w:r>
        <w:rPr>
          <w:rFonts w:hint="eastAsia" w:ascii="仿宋" w:hAnsi="仿宋" w:eastAsia="仿宋" w:cs="仿宋"/>
          <w:b w:val="0"/>
          <w:bCs w:val="0"/>
          <w:color w:val="auto"/>
          <w:sz w:val="32"/>
          <w:szCs w:val="32"/>
          <w:lang w:val="en-US" w:eastAsia="zh-CN"/>
        </w:rPr>
        <w:t>10968万元、二批资金2158.8万元，分别于</w:t>
      </w:r>
      <w:r>
        <w:rPr>
          <w:rFonts w:hint="eastAsia" w:ascii="仿宋" w:hAnsi="仿宋" w:eastAsia="仿宋" w:cs="仿宋"/>
          <w:color w:val="auto"/>
          <w:sz w:val="32"/>
          <w:szCs w:val="32"/>
          <w:lang w:val="en-US" w:eastAsia="zh-CN"/>
        </w:rPr>
        <w:t>2020年12月28日、2021年6月11日以“</w:t>
      </w:r>
      <w:r>
        <w:rPr>
          <w:rFonts w:hint="eastAsia" w:ascii="仿宋" w:hAnsi="仿宋" w:eastAsia="仿宋" w:cs="仿宋"/>
          <w:b w:val="0"/>
          <w:bCs w:val="0"/>
          <w:color w:val="auto"/>
          <w:sz w:val="32"/>
          <w:szCs w:val="32"/>
        </w:rPr>
        <w:t>豫</w:t>
      </w: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20</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236</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w:t>
      </w:r>
      <w:r>
        <w:rPr>
          <w:rFonts w:hint="eastAsia" w:ascii="仿宋" w:hAnsi="仿宋" w:eastAsia="仿宋" w:cs="仿宋"/>
          <w:b w:val="0"/>
          <w:bCs w:val="0"/>
          <w:color w:val="auto"/>
          <w:sz w:val="32"/>
          <w:szCs w:val="32"/>
        </w:rPr>
        <w:t>豫</w:t>
      </w: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47</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”下达后，我市分别于2021年4月6日、2021年8月5日按照相关规定以“三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262</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458</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”下达各县（市、区）总计</w:t>
      </w:r>
      <w:r>
        <w:rPr>
          <w:rFonts w:hint="eastAsia" w:ascii="仿宋" w:hAnsi="仿宋" w:eastAsia="仿宋" w:cs="仿宋"/>
          <w:b w:val="0"/>
          <w:bCs w:val="0"/>
          <w:color w:val="auto"/>
          <w:sz w:val="32"/>
          <w:szCs w:val="32"/>
          <w:lang w:val="en-US" w:eastAsia="zh-CN"/>
        </w:rPr>
        <w:t>13126.8万元。</w:t>
      </w:r>
      <w:r>
        <w:rPr>
          <w:rFonts w:hint="eastAsia" w:ascii="仿宋" w:hAnsi="仿宋" w:eastAsia="仿宋" w:cs="仿宋"/>
          <w:color w:val="auto"/>
          <w:sz w:val="32"/>
          <w:szCs w:val="32"/>
          <w:lang w:val="en-US" w:eastAsia="zh-CN"/>
        </w:rPr>
        <w:t xml:space="preserve"> </w:t>
      </w:r>
    </w:p>
    <w:p>
      <w:pPr>
        <w:keepNext w:val="0"/>
        <w:keepLines w:val="0"/>
        <w:pageBreakBefore w:val="0"/>
        <w:numPr>
          <w:ilvl w:val="0"/>
          <w:numId w:val="0"/>
        </w:numPr>
        <w:kinsoku/>
        <w:bidi w:val="0"/>
        <w:spacing w:line="600" w:lineRule="exact"/>
        <w:ind w:left="0" w:leftChars="0" w:right="0" w:rightChars="0"/>
        <w:textAlignment w:val="auto"/>
        <w:outlineLvl w:val="9"/>
        <w:rPr>
          <w:rFonts w:hint="default" w:ascii="仿宋" w:hAnsi="仿宋" w:eastAsia="仿宋" w:cs="仿宋"/>
          <w:color w:val="auto"/>
          <w:sz w:val="32"/>
          <w:szCs w:val="32"/>
          <w:lang w:val="en-US" w:eastAsia="zh-CN"/>
        </w:rPr>
      </w:pPr>
      <w:r>
        <w:rPr>
          <w:color w:val="auto"/>
        </w:rPr>
        <w:drawing>
          <wp:anchor distT="0" distB="0" distL="114300" distR="114300" simplePos="0" relativeHeight="251661312" behindDoc="0" locked="0" layoutInCell="1" allowOverlap="1">
            <wp:simplePos x="0" y="0"/>
            <wp:positionH relativeFrom="column">
              <wp:posOffset>4670425</wp:posOffset>
            </wp:positionH>
            <wp:positionV relativeFrom="paragraph">
              <wp:posOffset>150495</wp:posOffset>
            </wp:positionV>
            <wp:extent cx="1170940" cy="1708150"/>
            <wp:effectExtent l="0" t="0" r="10160" b="6350"/>
            <wp:wrapSquare wrapText="bothSides"/>
            <wp:docPr id="4" name="图片 2" descr="C:\Users\admin\Desktop\2.p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admin\Desktop\2.png2"/>
                    <pic:cNvPicPr>
                      <a:picLocks noChangeAspect="1"/>
                    </pic:cNvPicPr>
                  </pic:nvPicPr>
                  <pic:blipFill>
                    <a:blip r:embed="rId6"/>
                    <a:srcRect/>
                    <a:stretch>
                      <a:fillRect/>
                    </a:stretch>
                  </pic:blipFill>
                  <pic:spPr>
                    <a:xfrm>
                      <a:off x="0" y="0"/>
                      <a:ext cx="1170940" cy="1708150"/>
                    </a:xfrm>
                    <a:prstGeom prst="rect">
                      <a:avLst/>
                    </a:prstGeom>
                    <a:noFill/>
                    <a:ln w="9525">
                      <a:noFill/>
                    </a:ln>
                  </pic:spPr>
                </pic:pic>
              </a:graphicData>
            </a:graphic>
          </wp:anchor>
        </w:drawing>
      </w:r>
      <w:r>
        <w:rPr>
          <w:color w:val="auto"/>
        </w:rPr>
        <w:drawing>
          <wp:anchor distT="0" distB="0" distL="114300" distR="114300" simplePos="0" relativeHeight="251660288" behindDoc="0" locked="0" layoutInCell="1" allowOverlap="1">
            <wp:simplePos x="0" y="0"/>
            <wp:positionH relativeFrom="column">
              <wp:posOffset>3128010</wp:posOffset>
            </wp:positionH>
            <wp:positionV relativeFrom="paragraph">
              <wp:posOffset>158750</wp:posOffset>
            </wp:positionV>
            <wp:extent cx="1264285" cy="1697990"/>
            <wp:effectExtent l="0" t="0" r="12065" b="16510"/>
            <wp:wrapSquare wrapText="bothSides"/>
            <wp:docPr id="3" name="图片 1" descr="C:\Users\admin\Desktop\1.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Desktop\1.png1"/>
                    <pic:cNvPicPr>
                      <a:picLocks noChangeAspect="1"/>
                    </pic:cNvPicPr>
                  </pic:nvPicPr>
                  <pic:blipFill>
                    <a:blip r:embed="rId7"/>
                    <a:srcRect/>
                    <a:stretch>
                      <a:fillRect/>
                    </a:stretch>
                  </pic:blipFill>
                  <pic:spPr>
                    <a:xfrm>
                      <a:off x="0" y="0"/>
                      <a:ext cx="1264285" cy="1697990"/>
                    </a:xfrm>
                    <a:prstGeom prst="rect">
                      <a:avLst/>
                    </a:prstGeom>
                    <a:noFill/>
                    <a:ln w="9525">
                      <a:noFill/>
                    </a:ln>
                  </pic:spPr>
                </pic:pic>
              </a:graphicData>
            </a:graphic>
          </wp:anchor>
        </w:drawing>
      </w: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（2）市级配套资金投入情况。</w:t>
      </w:r>
      <w:r>
        <w:rPr>
          <w:rFonts w:hint="eastAsia" w:ascii="仿宋" w:hAnsi="仿宋" w:eastAsia="仿宋" w:cs="仿宋"/>
          <w:b w:val="0"/>
          <w:bCs w:val="0"/>
          <w:color w:val="auto"/>
          <w:sz w:val="32"/>
          <w:szCs w:val="32"/>
          <w:lang w:val="en-US" w:eastAsia="zh-CN"/>
        </w:rPr>
        <w:t>我市分别于</w:t>
      </w:r>
      <w:r>
        <w:rPr>
          <w:rFonts w:hint="eastAsia" w:ascii="仿宋" w:hAnsi="仿宋" w:eastAsia="仿宋" w:cs="仿宋"/>
          <w:color w:val="auto"/>
          <w:sz w:val="32"/>
          <w:szCs w:val="32"/>
          <w:lang w:val="en-US" w:eastAsia="zh-CN"/>
        </w:rPr>
        <w:t>2021年5月10日，以“三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327</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”下达2021年度基本公共卫生服务项目市级配套资金992.68万元（5.2元/年.人）；2021年7月8日，以“三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606</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”下达2021年度基本公共卫生服务项目市级配套资金（第二批）80.448万元（5.6元/年.人）。</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2、项目资金执行情况分析。</w:t>
      </w:r>
      <w:r>
        <w:rPr>
          <w:rFonts w:hint="eastAsia" w:ascii="仿宋" w:hAnsi="仿宋" w:eastAsia="仿宋" w:cs="仿宋"/>
          <w:b w:val="0"/>
          <w:bCs w:val="0"/>
          <w:color w:val="auto"/>
          <w:sz w:val="32"/>
          <w:szCs w:val="32"/>
          <w:lang w:val="en-US" w:eastAsia="zh-CN"/>
        </w:rPr>
        <w:t>项目资金执行率100%。</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 xml:space="preserve"> 3、项目资金管理情况分析。</w:t>
      </w:r>
      <w:r>
        <w:rPr>
          <w:rFonts w:hint="eastAsia" w:ascii="仿宋" w:hAnsi="仿宋" w:eastAsia="仿宋" w:cs="仿宋"/>
          <w:b w:val="0"/>
          <w:bCs w:val="0"/>
          <w:color w:val="auto"/>
          <w:sz w:val="32"/>
          <w:szCs w:val="32"/>
          <w:lang w:val="en-US" w:eastAsia="zh-CN"/>
        </w:rPr>
        <w:t xml:space="preserve"> </w:t>
      </w:r>
    </w:p>
    <w:p>
      <w:pPr>
        <w:keepNext w:val="0"/>
        <w:keepLines w:val="0"/>
        <w:pageBreakBefore w:val="0"/>
        <w:numPr>
          <w:ilvl w:val="0"/>
          <w:numId w:val="0"/>
        </w:numPr>
        <w:kinsoku/>
        <w:bidi w:val="0"/>
        <w:spacing w:line="600" w:lineRule="exact"/>
        <w:ind w:left="0" w:leftChars="0" w:right="0" w:rightChars="0" w:firstLine="640"/>
        <w:textAlignment w:val="auto"/>
        <w:outlineLvl w:val="9"/>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val="en-US" w:eastAsia="zh-CN"/>
        </w:rPr>
        <w:t>（1）进一步明确资金用途。</w:t>
      </w:r>
      <w:r>
        <w:rPr>
          <w:rFonts w:hint="eastAsia" w:ascii="仿宋_GB2312" w:eastAsia="仿宋_GB2312"/>
          <w:b w:val="0"/>
          <w:bCs w:val="0"/>
          <w:color w:val="auto"/>
          <w:sz w:val="32"/>
          <w:szCs w:val="32"/>
          <w:lang w:val="en-US" w:eastAsia="zh-CN"/>
        </w:rPr>
        <w:t>国家</w:t>
      </w:r>
      <w:r>
        <w:rPr>
          <w:rFonts w:hint="eastAsia" w:ascii="仿宋" w:hAnsi="仿宋" w:eastAsia="仿宋" w:cs="仿宋"/>
          <w:b w:val="0"/>
          <w:bCs w:val="0"/>
          <w:color w:val="auto"/>
          <w:kern w:val="0"/>
          <w:sz w:val="32"/>
          <w:szCs w:val="32"/>
          <w:lang w:val="en-US" w:eastAsia="zh-CN" w:bidi="ar"/>
        </w:rPr>
        <w:t>基本公共卫生服务项目是面向全体城乡居民免费提供的公共卫生服务项目。基本公共卫生服务项目补助资金是指各级财政预算安排的，用于基层医疗卫生机构按规定为城乡居民免费提供基本公共卫生服务项目的补助资金，</w:t>
      </w:r>
      <w:r>
        <w:rPr>
          <w:rFonts w:hint="eastAsia" w:ascii="仿宋" w:hAnsi="仿宋" w:eastAsia="仿宋" w:cs="仿宋"/>
          <w:b w:val="0"/>
          <w:bCs w:val="0"/>
          <w:color w:val="auto"/>
          <w:sz w:val="32"/>
          <w:szCs w:val="32"/>
        </w:rPr>
        <w:t>主要用于城市社区卫生服务中心(站)、乡镇卫生院、村卫生室等基层医疗卫生机构提供公共卫生服务所需支出</w:t>
      </w:r>
      <w:r>
        <w:rPr>
          <w:rFonts w:hint="eastAsia" w:ascii="仿宋" w:hAnsi="仿宋" w:eastAsia="仿宋" w:cs="仿宋"/>
          <w:b w:val="0"/>
          <w:bCs w:val="0"/>
          <w:color w:val="auto"/>
          <w:sz w:val="32"/>
          <w:szCs w:val="32"/>
          <w:lang w:eastAsia="zh-CN"/>
        </w:rPr>
        <w:t>。</w:t>
      </w:r>
    </w:p>
    <w:p>
      <w:pPr>
        <w:keepNext w:val="0"/>
        <w:keepLines w:val="0"/>
        <w:pageBreakBefore w:val="0"/>
        <w:numPr>
          <w:ilvl w:val="0"/>
          <w:numId w:val="0"/>
        </w:numPr>
        <w:kinsoku/>
        <w:bidi w:val="0"/>
        <w:spacing w:line="600" w:lineRule="exact"/>
        <w:ind w:left="0" w:leftChars="0" w:right="0" w:rightChars="0" w:firstLine="64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color w:val="auto"/>
          <w:sz w:val="32"/>
          <w:szCs w:val="32"/>
          <w:lang w:val="en-US" w:eastAsia="zh-CN"/>
        </w:rPr>
        <w:t>（2）进一步加强</w:t>
      </w:r>
      <w:r>
        <w:rPr>
          <w:rFonts w:hint="eastAsia" w:ascii="仿宋" w:hAnsi="仿宋" w:eastAsia="仿宋" w:cs="仿宋"/>
          <w:b/>
          <w:bCs/>
          <w:i w:val="0"/>
          <w:caps w:val="0"/>
          <w:color w:val="auto"/>
          <w:spacing w:val="0"/>
          <w:sz w:val="32"/>
          <w:szCs w:val="32"/>
          <w:u w:val="none"/>
          <w:lang w:eastAsia="zh-CN"/>
        </w:rPr>
        <w:t>基本公共卫生服务项目财政补助资金管理。</w:t>
      </w:r>
      <w:r>
        <w:rPr>
          <w:rFonts w:hint="eastAsia" w:ascii="仿宋" w:hAnsi="仿宋" w:eastAsia="仿宋" w:cs="仿宋"/>
          <w:color w:val="auto"/>
          <w:sz w:val="32"/>
          <w:szCs w:val="32"/>
          <w:lang w:eastAsia="zh-CN"/>
        </w:rPr>
        <w:t>各县（市、区）财政部门、卫生健康委要严格落实《财政部</w:t>
      </w:r>
      <w:r>
        <w:rPr>
          <w:rFonts w:hint="eastAsia" w:ascii="仿宋" w:hAnsi="仿宋" w:eastAsia="仿宋" w:cs="仿宋"/>
          <w:color w:val="auto"/>
          <w:sz w:val="32"/>
          <w:szCs w:val="32"/>
          <w:lang w:val="en-US" w:eastAsia="zh-CN"/>
        </w:rPr>
        <w:t xml:space="preserve"> 国家卫生健康委 国家医疗保障局 国家中医药管理局关于印发基本公共卫生服务等5项补助资金管理办法的通知</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eastAsia="zh-CN"/>
        </w:rPr>
        <w:t>（财社</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19</w:t>
      </w:r>
      <w:r>
        <w:rPr>
          <w:rFonts w:hint="eastAsia" w:ascii="仿宋" w:hAnsi="仿宋" w:eastAsia="仿宋" w:cs="仿宋"/>
          <w:color w:val="auto"/>
          <w:sz w:val="32"/>
          <w:szCs w:val="32"/>
        </w:rPr>
        <w:t>〕</w:t>
      </w:r>
      <w:r>
        <w:rPr>
          <w:rFonts w:hint="eastAsia" w:ascii="仿宋" w:hAnsi="仿宋" w:eastAsia="仿宋" w:cs="仿宋"/>
          <w:b w:val="0"/>
          <w:bCs w:val="0"/>
          <w:color w:val="auto"/>
          <w:sz w:val="32"/>
          <w:szCs w:val="32"/>
          <w:lang w:val="en-US" w:eastAsia="zh-CN"/>
        </w:rPr>
        <w:t>113</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r>
        <w:rPr>
          <w:rFonts w:hint="eastAsia" w:ascii="仿宋" w:hAnsi="仿宋" w:eastAsia="仿宋" w:cs="仿宋"/>
          <w:color w:val="auto"/>
          <w:sz w:val="32"/>
          <w:szCs w:val="32"/>
          <w:lang w:eastAsia="zh-CN"/>
        </w:rPr>
        <w:t>《河南省财政厅</w:t>
      </w:r>
      <w:r>
        <w:rPr>
          <w:rFonts w:hint="eastAsia" w:ascii="仿宋" w:hAnsi="仿宋" w:eastAsia="仿宋" w:cs="仿宋"/>
          <w:color w:val="auto"/>
          <w:sz w:val="32"/>
          <w:szCs w:val="32"/>
          <w:lang w:val="en-US" w:eastAsia="zh-CN"/>
        </w:rPr>
        <w:t xml:space="preserve"> 河南省卫生健康委员会 河南省医疗保障局关于印发河南省基本公共卫生服务等5项补助资金管理办法的通知</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eastAsia="zh-CN"/>
        </w:rPr>
        <w:t>（豫财社</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19</w:t>
      </w:r>
      <w:r>
        <w:rPr>
          <w:rFonts w:hint="eastAsia" w:ascii="仿宋" w:hAnsi="仿宋" w:eastAsia="仿宋" w:cs="仿宋"/>
          <w:color w:val="auto"/>
          <w:sz w:val="32"/>
          <w:szCs w:val="32"/>
        </w:rPr>
        <w:t>〕</w:t>
      </w:r>
      <w:r>
        <w:rPr>
          <w:rFonts w:hint="eastAsia" w:ascii="仿宋" w:hAnsi="仿宋" w:eastAsia="仿宋" w:cs="仿宋"/>
          <w:b w:val="0"/>
          <w:bCs w:val="0"/>
          <w:color w:val="auto"/>
          <w:sz w:val="32"/>
          <w:szCs w:val="32"/>
          <w:lang w:val="en-US" w:eastAsia="zh-CN"/>
        </w:rPr>
        <w:t>123</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r>
        <w:rPr>
          <w:rFonts w:hint="eastAsia" w:ascii="仿宋" w:hAnsi="仿宋" w:eastAsia="仿宋" w:cs="仿宋"/>
          <w:color w:val="auto"/>
          <w:sz w:val="32"/>
          <w:szCs w:val="32"/>
          <w:lang w:eastAsia="zh-CN"/>
        </w:rPr>
        <w:t>《河南省财政厅</w:t>
      </w:r>
      <w:r>
        <w:rPr>
          <w:rFonts w:hint="eastAsia" w:ascii="仿宋" w:hAnsi="仿宋" w:eastAsia="仿宋" w:cs="仿宋"/>
          <w:color w:val="auto"/>
          <w:sz w:val="32"/>
          <w:szCs w:val="32"/>
          <w:lang w:val="en-US" w:eastAsia="zh-CN"/>
        </w:rPr>
        <w:t xml:space="preserve"> 河南省发展和改革委员会 河南省卫生健康委员会 河南省医疗保障局关于印发河南省医疗卫生领域省与市县财政事权和支出责任划分改革方案的通知</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eastAsia="zh-CN"/>
        </w:rPr>
        <w:t>（豫财社</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19</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42</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r>
        <w:rPr>
          <w:rFonts w:hint="eastAsia" w:ascii="仿宋" w:hAnsi="仿宋" w:eastAsia="仿宋" w:cs="仿宋"/>
          <w:color w:val="auto"/>
          <w:sz w:val="32"/>
          <w:szCs w:val="32"/>
          <w:lang w:eastAsia="zh-CN"/>
        </w:rPr>
        <w:t>《河南省人民政府办公厅</w:t>
      </w:r>
      <w:r>
        <w:rPr>
          <w:rFonts w:hint="eastAsia" w:ascii="仿宋" w:hAnsi="仿宋" w:eastAsia="仿宋" w:cs="仿宋"/>
          <w:color w:val="auto"/>
          <w:sz w:val="32"/>
          <w:szCs w:val="32"/>
          <w:lang w:val="en-US" w:eastAsia="zh-CN"/>
        </w:rPr>
        <w:t>关于印发河南省基本公共服务领域省与市县共同财政事权和支出责任划分改革方案的通知</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eastAsia="zh-CN"/>
        </w:rPr>
        <w:t>（豫政办</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18</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89</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snapToGrid w:val="0"/>
          <w:color w:val="auto"/>
          <w:sz w:val="32"/>
          <w:szCs w:val="32"/>
          <w:lang w:val="en-US" w:eastAsia="zh-CN"/>
        </w:rPr>
        <w:t>《河南省财政厅 河南省卫生和计划生育委员会 河南省审计厅关于进一步规范和加强基本公共卫生服务项目补助资金管理意见的通知》（豫财社</w:t>
      </w:r>
      <w:r>
        <w:rPr>
          <w:rFonts w:hint="eastAsia" w:ascii="仿宋" w:hAnsi="仿宋" w:eastAsia="仿宋" w:cs="仿宋"/>
          <w:color w:val="auto"/>
          <w:sz w:val="32"/>
          <w:szCs w:val="32"/>
        </w:rPr>
        <w:t>〔201</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116</w:t>
      </w:r>
      <w:r>
        <w:rPr>
          <w:rFonts w:hint="eastAsia" w:ascii="仿宋" w:hAnsi="仿宋" w:eastAsia="仿宋" w:cs="仿宋"/>
          <w:color w:val="auto"/>
          <w:sz w:val="32"/>
          <w:szCs w:val="32"/>
        </w:rPr>
        <w:t>号</w:t>
      </w:r>
      <w:r>
        <w:rPr>
          <w:rFonts w:hint="eastAsia" w:ascii="仿宋" w:hAnsi="仿宋" w:eastAsia="仿宋" w:cs="仿宋"/>
          <w:b w:val="0"/>
          <w:bCs w:val="0"/>
          <w:snapToGrid w:val="0"/>
          <w:color w:val="auto"/>
          <w:sz w:val="32"/>
          <w:szCs w:val="32"/>
          <w:lang w:val="en-US" w:eastAsia="zh-CN"/>
        </w:rPr>
        <w:t>）、《三门峡市卫生健康委 三门峡市财政局关于严格执行国家基本公共卫生服务项目补助资金管理有关规定的通知》（三卫基层</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2019</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9号</w:t>
      </w:r>
      <w:r>
        <w:rPr>
          <w:rFonts w:hint="eastAsia" w:ascii="仿宋" w:hAnsi="仿宋" w:eastAsia="仿宋" w:cs="仿宋"/>
          <w:b w:val="0"/>
          <w:bCs w:val="0"/>
          <w:snapToGrid w:val="0"/>
          <w:color w:val="auto"/>
          <w:sz w:val="32"/>
          <w:szCs w:val="32"/>
          <w:lang w:val="en-US" w:eastAsia="zh-CN"/>
        </w:rPr>
        <w:t>）等要求，</w:t>
      </w:r>
      <w:r>
        <w:rPr>
          <w:rFonts w:hint="eastAsia" w:ascii="仿宋" w:hAnsi="仿宋" w:eastAsia="仿宋" w:cs="仿宋"/>
          <w:b w:val="0"/>
          <w:bCs w:val="0"/>
          <w:color w:val="auto"/>
          <w:sz w:val="32"/>
          <w:szCs w:val="32"/>
          <w:lang w:eastAsia="zh-CN"/>
        </w:rPr>
        <w:t>切实高度重视，认真学习，严肃对待，进一步规范和</w:t>
      </w:r>
      <w:r>
        <w:rPr>
          <w:rFonts w:hint="eastAsia" w:ascii="仿宋" w:hAnsi="仿宋" w:eastAsia="仿宋" w:cs="仿宋"/>
          <w:b w:val="0"/>
          <w:bCs w:val="0"/>
          <w:color w:val="auto"/>
          <w:sz w:val="32"/>
          <w:szCs w:val="32"/>
        </w:rPr>
        <w:t>加强资金管理，提高资金使用效能</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一是配套资金落实</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二是拨付资金及时</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snapToGrid w:val="0"/>
          <w:color w:val="auto"/>
          <w:sz w:val="32"/>
          <w:szCs w:val="32"/>
        </w:rPr>
        <w:t>三是使用资金规范。</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（3）严肃财经纪律。</w:t>
      </w:r>
      <w:r>
        <w:rPr>
          <w:rFonts w:hint="eastAsia" w:ascii="仿宋_GB2312" w:eastAsia="仿宋_GB2312"/>
          <w:b w:val="0"/>
          <w:bCs w:val="0"/>
          <w:snapToGrid w:val="0"/>
          <w:color w:val="auto"/>
          <w:sz w:val="32"/>
          <w:szCs w:val="32"/>
          <w:lang w:eastAsia="zh-CN"/>
        </w:rPr>
        <w:t>各级财政、卫生健康部门、基层医疗卫生机构及其工作人员在专项资金分配、审核、拨付、使用等工作中，存在违反规定分配资金、向不符合条件的单位（或项目）分配资金或者擅自超出规定的范围或者标准分配或使用专项资金，以及其他滥用职权、玩忽职守、徇私舞弊等违法违纪行为的，按照《中华人民共和国预算法》、《中华人民共和国公务员法》、《中华人民共和国行政监察法》、《财政违法行为处罚处分条例》等国家有关规定追究相应责任；涉嫌犯罪的，移送司法机关处理。</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楷体" w:hAnsi="楷体" w:eastAsia="楷体" w:cs="楷体"/>
          <w:b/>
          <w:bCs/>
          <w:color w:val="auto"/>
          <w:sz w:val="32"/>
          <w:szCs w:val="32"/>
          <w:lang w:val="en-US" w:eastAsia="zh-CN"/>
        </w:rPr>
      </w:pPr>
      <w:r>
        <w:rPr>
          <w:rFonts w:hint="eastAsia" w:ascii="黑体" w:hAnsi="黑体" w:eastAsia="黑体" w:cs="黑体"/>
          <w:b/>
          <w:bCs/>
          <w:color w:val="auto"/>
          <w:sz w:val="32"/>
          <w:szCs w:val="32"/>
          <w:lang w:val="en-US" w:eastAsia="zh-CN"/>
        </w:rPr>
        <w:t xml:space="preserve">    </w:t>
      </w:r>
      <w:r>
        <w:rPr>
          <w:rFonts w:hint="eastAsia" w:ascii="楷体" w:hAnsi="楷体" w:eastAsia="楷体" w:cs="楷体"/>
          <w:b/>
          <w:bCs/>
          <w:color w:val="auto"/>
          <w:sz w:val="32"/>
          <w:szCs w:val="32"/>
          <w:lang w:val="en-US" w:eastAsia="zh-CN"/>
        </w:rPr>
        <w:t xml:space="preserve">（二）绩效目标完成情况分析。 </w:t>
      </w:r>
    </w:p>
    <w:p>
      <w:pPr>
        <w:jc w:val="both"/>
        <w:rPr>
          <w:rFonts w:hint="eastAsia" w:ascii="仿宋" w:hAnsi="仿宋" w:eastAsia="仿宋" w:cs="仿宋"/>
          <w:b/>
          <w:bCs/>
          <w:color w:val="auto"/>
          <w:sz w:val="32"/>
          <w:szCs w:val="32"/>
          <w:lang w:val="en-US" w:eastAsia="zh-CN"/>
        </w:rPr>
      </w:pPr>
      <w:r>
        <w:rPr>
          <w:rFonts w:hint="eastAsia" w:ascii="仿宋" w:hAnsi="仿宋" w:eastAsia="仿宋" w:cs="仿宋"/>
          <w:color w:val="auto"/>
          <w:kern w:val="0"/>
          <w:sz w:val="32"/>
          <w:szCs w:val="32"/>
          <w:u w:val="none" w:color="000000"/>
          <w:lang w:val="en-US" w:eastAsia="zh-CN"/>
        </w:rPr>
        <w:t xml:space="preserve">    </w:t>
      </w:r>
      <w:r>
        <w:rPr>
          <w:rFonts w:hint="eastAsia" w:ascii="仿宋" w:hAnsi="仿宋" w:eastAsia="仿宋" w:cs="仿宋"/>
          <w:b/>
          <w:bCs/>
          <w:color w:val="auto"/>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jc w:val="both"/>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    （1）数量指标。</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kern w:val="0"/>
          <w:sz w:val="32"/>
          <w:szCs w:val="32"/>
          <w:lang w:val="en-US" w:eastAsia="zh-CN"/>
        </w:rPr>
        <w:t>全市平均</w:t>
      </w:r>
      <w:r>
        <w:rPr>
          <w:rFonts w:hint="eastAsia" w:ascii="仿宋_GB2312" w:hAnsi="仿宋_GB2312" w:eastAsia="仿宋_GB2312" w:cs="仿宋_GB2312"/>
          <w:color w:val="auto"/>
          <w:sz w:val="32"/>
          <w:szCs w:val="32"/>
        </w:rPr>
        <w:t>电子健康档案建档率</w:t>
      </w:r>
      <w:r>
        <w:rPr>
          <w:rFonts w:hint="eastAsia" w:ascii="仿宋_GB2312" w:hAnsi="仿宋_GB2312" w:eastAsia="仿宋_GB2312" w:cs="仿宋_GB2312"/>
          <w:color w:val="auto"/>
          <w:sz w:val="32"/>
          <w:szCs w:val="32"/>
          <w:lang w:val="en-US" w:eastAsia="zh-CN"/>
        </w:rPr>
        <w:t>97.78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7.78个百分点，</w:t>
      </w:r>
      <w:r>
        <w:rPr>
          <w:rFonts w:hint="eastAsia" w:ascii="仿宋_GB2312" w:hAnsi="仿宋_GB2312" w:eastAsia="仿宋_GB2312" w:cs="仿宋_GB2312"/>
          <w:color w:val="auto"/>
          <w:sz w:val="32"/>
          <w:szCs w:val="32"/>
        </w:rPr>
        <w:t>使用率稳步提高</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适龄儿童国家免疫规划疫苗接种率</w:t>
      </w:r>
      <w:r>
        <w:rPr>
          <w:rFonts w:hint="eastAsia" w:ascii="仿宋_GB2312" w:hAnsi="仿宋_GB2312" w:eastAsia="仿宋_GB2312" w:cs="仿宋_GB2312"/>
          <w:color w:val="auto"/>
          <w:sz w:val="32"/>
          <w:szCs w:val="32"/>
          <w:lang w:val="en-US" w:eastAsia="zh-CN"/>
        </w:rPr>
        <w:t>98.96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8.96个百分点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0-6岁儿童健康管理率</w:t>
      </w:r>
      <w:r>
        <w:rPr>
          <w:rFonts w:hint="eastAsia" w:ascii="仿宋_GB2312" w:hAnsi="仿宋_GB2312" w:eastAsia="仿宋_GB2312" w:cs="仿宋_GB2312"/>
          <w:color w:val="auto"/>
          <w:sz w:val="32"/>
          <w:szCs w:val="32"/>
          <w:lang w:val="en-US" w:eastAsia="zh-CN"/>
        </w:rPr>
        <w:t>92.37%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 xml:space="preserve">2.37个百分点；  </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0-6岁儿童</w:t>
      </w:r>
      <w:r>
        <w:rPr>
          <w:rFonts w:hint="eastAsia" w:ascii="仿宋_GB2312" w:hAnsi="仿宋_GB2312" w:eastAsia="仿宋_GB2312" w:cs="仿宋_GB2312"/>
          <w:color w:val="auto"/>
          <w:sz w:val="32"/>
          <w:szCs w:val="32"/>
          <w:lang w:eastAsia="zh-CN"/>
        </w:rPr>
        <w:t>眼保健和视力检查覆盖率稳步提高；</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老年人健康管理率</w:t>
      </w:r>
      <w:r>
        <w:rPr>
          <w:rFonts w:hint="eastAsia" w:ascii="仿宋_GB2312" w:hAnsi="仿宋_GB2312" w:eastAsia="仿宋_GB2312" w:cs="仿宋_GB2312"/>
          <w:color w:val="auto"/>
          <w:sz w:val="32"/>
          <w:szCs w:val="32"/>
          <w:lang w:val="en-US" w:eastAsia="zh-CN"/>
        </w:rPr>
        <w:t>73.55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3.55个百分点；</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高血压患者规范管理率</w:t>
      </w:r>
      <w:r>
        <w:rPr>
          <w:rFonts w:hint="eastAsia" w:ascii="仿宋_GB2312" w:hAnsi="仿宋_GB2312" w:eastAsia="仿宋_GB2312" w:cs="仿宋_GB2312"/>
          <w:color w:val="auto"/>
          <w:sz w:val="32"/>
          <w:szCs w:val="32"/>
          <w:lang w:val="en-US" w:eastAsia="zh-CN"/>
        </w:rPr>
        <w:t>79.9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19.9个百分点；</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 w:hAnsi="仿宋" w:eastAsia="仿宋" w:cs="仿宋"/>
          <w:b w:val="0"/>
          <w:bCs w:val="0"/>
          <w:color w:val="auto"/>
          <w:sz w:val="32"/>
          <w:szCs w:val="32"/>
        </w:rPr>
        <w:t>Ⅱ</w:t>
      </w:r>
      <w:r>
        <w:rPr>
          <w:rFonts w:hint="eastAsia" w:ascii="仿宋_GB2312" w:hAnsi="仿宋_GB2312" w:eastAsia="仿宋_GB2312" w:cs="仿宋_GB2312"/>
          <w:color w:val="auto"/>
          <w:sz w:val="32"/>
          <w:szCs w:val="32"/>
        </w:rPr>
        <w:t>型糖尿病患者规范管理率</w:t>
      </w:r>
      <w:r>
        <w:rPr>
          <w:rFonts w:hint="eastAsia" w:ascii="仿宋_GB2312" w:hAnsi="仿宋_GB2312" w:eastAsia="仿宋_GB2312" w:cs="仿宋_GB2312"/>
          <w:color w:val="auto"/>
          <w:sz w:val="32"/>
          <w:szCs w:val="32"/>
          <w:lang w:val="en-US" w:eastAsia="zh-CN"/>
        </w:rPr>
        <w:t>79.76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19.76个百分点；</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严重精神障碍患者规范管理率</w:t>
      </w:r>
      <w:r>
        <w:rPr>
          <w:rFonts w:hint="eastAsia" w:ascii="仿宋_GB2312" w:hAnsi="仿宋_GB2312" w:eastAsia="仿宋_GB2312" w:cs="仿宋_GB2312"/>
          <w:color w:val="auto"/>
          <w:sz w:val="32"/>
          <w:szCs w:val="32"/>
          <w:lang w:val="en-US" w:eastAsia="zh-CN"/>
        </w:rPr>
        <w:t>91.29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11.29个百分点；</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肺结核患者管理率达到</w:t>
      </w:r>
      <w:r>
        <w:rPr>
          <w:rFonts w:hint="eastAsia" w:ascii="仿宋_GB2312" w:hAnsi="仿宋_GB2312" w:eastAsia="仿宋_GB2312" w:cs="仿宋_GB2312"/>
          <w:color w:val="auto"/>
          <w:sz w:val="32"/>
          <w:szCs w:val="32"/>
          <w:lang w:val="en-US" w:eastAsia="zh-CN"/>
        </w:rPr>
        <w:t>99.76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，超目标任务</w:t>
      </w:r>
      <w:r>
        <w:rPr>
          <w:rFonts w:hint="eastAsia" w:ascii="仿宋_GB2312" w:hAnsi="仿宋_GB2312" w:eastAsia="仿宋_GB2312" w:cs="仿宋_GB2312"/>
          <w:color w:val="auto"/>
          <w:sz w:val="32"/>
          <w:szCs w:val="32"/>
          <w:lang w:val="en-US" w:eastAsia="zh-CN"/>
        </w:rPr>
        <w:t xml:space="preserve">9.76个百分点；   </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老年人、儿童中医药健康管理率分别达到</w:t>
      </w:r>
      <w:r>
        <w:rPr>
          <w:rFonts w:hint="eastAsia" w:ascii="仿宋_GB2312" w:hAnsi="仿宋_GB2312" w:eastAsia="仿宋_GB2312" w:cs="仿宋_GB2312"/>
          <w:color w:val="auto"/>
          <w:sz w:val="32"/>
          <w:szCs w:val="32"/>
          <w:lang w:val="en-US" w:eastAsia="zh-CN"/>
        </w:rPr>
        <w:t>73.01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77.46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，分别超目标任务</w:t>
      </w:r>
      <w:r>
        <w:rPr>
          <w:rFonts w:hint="eastAsia" w:ascii="仿宋_GB2312" w:hAnsi="仿宋_GB2312" w:eastAsia="仿宋_GB2312" w:cs="仿宋_GB2312"/>
          <w:color w:val="auto"/>
          <w:sz w:val="32"/>
          <w:szCs w:val="32"/>
          <w:lang w:val="en-US" w:eastAsia="zh-CN"/>
        </w:rPr>
        <w:t>8.01、12.46个百分点；</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2"/>
        <w:jc w:val="both"/>
        <w:textAlignment w:val="auto"/>
        <w:outlineLvl w:val="9"/>
        <w:rPr>
          <w:rFonts w:hint="eastAsia" w:ascii="仿宋_GB2312" w:hAnsi="仿宋_GB2312" w:eastAsia="仿宋_GB2312" w:cs="仿宋_GB2312"/>
          <w:b w:val="0"/>
          <w:bCs w:val="0"/>
          <w:color w:val="auto"/>
          <w:sz w:val="32"/>
          <w:szCs w:val="32"/>
          <w:lang w:val="en-US"/>
        </w:rPr>
      </w:pPr>
      <w:r>
        <w:rPr>
          <w:rFonts w:hint="eastAsia" w:ascii="仿宋_GB2312" w:hAnsi="仿宋_GB2312" w:eastAsia="仿宋_GB2312" w:cs="仿宋_GB2312"/>
          <w:color w:val="auto"/>
          <w:sz w:val="32"/>
          <w:szCs w:val="32"/>
        </w:rPr>
        <w:t>传染病、突发公共卫生事件报告率</w:t>
      </w:r>
      <w:r>
        <w:rPr>
          <w:rFonts w:hint="eastAsia" w:ascii="仿宋_GB2312" w:hAnsi="仿宋_GB2312" w:eastAsia="仿宋_GB2312" w:cs="仿宋_GB2312"/>
          <w:color w:val="auto"/>
          <w:sz w:val="32"/>
          <w:szCs w:val="32"/>
          <w:lang w:eastAsia="zh-CN"/>
        </w:rPr>
        <w:t>、及时率</w:t>
      </w:r>
      <w:r>
        <w:rPr>
          <w:rFonts w:hint="eastAsia" w:ascii="仿宋_GB2312" w:hAnsi="仿宋_GB2312" w:eastAsia="仿宋_GB2312" w:cs="仿宋_GB2312"/>
          <w:color w:val="auto"/>
          <w:sz w:val="32"/>
          <w:szCs w:val="32"/>
        </w:rPr>
        <w:t>分别达到</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bCs/>
          <w:color w:val="auto"/>
          <w:sz w:val="32"/>
          <w:szCs w:val="32"/>
          <w:lang w:val="en-US" w:eastAsia="zh-CN"/>
        </w:rPr>
        <w:t xml:space="preserve">   （2）质量指标。</w:t>
      </w:r>
      <w:r>
        <w:rPr>
          <w:rFonts w:hint="eastAsia" w:ascii="仿宋" w:hAnsi="仿宋" w:eastAsia="仿宋" w:cs="仿宋"/>
          <w:b w:val="0"/>
          <w:bCs w:val="0"/>
          <w:color w:val="auto"/>
          <w:sz w:val="32"/>
          <w:szCs w:val="32"/>
          <w:lang w:val="en-US" w:eastAsia="zh-CN"/>
        </w:rPr>
        <w:t>各服务项目能够按照国家基本公共卫生服务项目规范向居民免费提供基本公共卫生服务，</w:t>
      </w:r>
      <w:r>
        <w:rPr>
          <w:rFonts w:hint="eastAsia" w:ascii="仿宋" w:hAnsi="仿宋" w:eastAsia="仿宋" w:cs="仿宋"/>
          <w:b w:val="0"/>
          <w:bCs w:val="0"/>
          <w:color w:val="auto"/>
          <w:sz w:val="32"/>
          <w:szCs w:val="32"/>
        </w:rPr>
        <w:t>服务不断深入，</w:t>
      </w:r>
      <w:r>
        <w:rPr>
          <w:rFonts w:hint="eastAsia" w:ascii="仿宋" w:hAnsi="仿宋" w:eastAsia="仿宋" w:cs="仿宋"/>
          <w:b w:val="0"/>
          <w:bCs w:val="0"/>
          <w:color w:val="auto"/>
          <w:sz w:val="32"/>
          <w:szCs w:val="32"/>
          <w:lang w:eastAsia="zh-CN"/>
        </w:rPr>
        <w:t>项目</w:t>
      </w:r>
      <w:r>
        <w:rPr>
          <w:rFonts w:hint="eastAsia" w:ascii="仿宋" w:hAnsi="仿宋" w:eastAsia="仿宋" w:cs="仿宋"/>
          <w:b w:val="0"/>
          <w:bCs w:val="0"/>
          <w:color w:val="auto"/>
          <w:sz w:val="32"/>
          <w:szCs w:val="32"/>
        </w:rPr>
        <w:t>服务效果进一步显现</w:t>
      </w:r>
      <w:r>
        <w:rPr>
          <w:rFonts w:hint="eastAsia" w:ascii="仿宋" w:hAnsi="仿宋" w:eastAsia="仿宋" w:cs="仿宋"/>
          <w:b w:val="0"/>
          <w:bCs w:val="0"/>
          <w:color w:val="auto"/>
          <w:sz w:val="32"/>
          <w:szCs w:val="32"/>
          <w:lang w:eastAsia="zh-CN"/>
        </w:rPr>
        <w:t>，服务质量逐步提高。</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    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社会效益和群众满意度分析。</w:t>
      </w:r>
      <w:r>
        <w:rPr>
          <w:rFonts w:hint="eastAsia" w:ascii="仿宋" w:hAnsi="仿宋" w:eastAsia="仿宋" w:cs="仿宋"/>
          <w:b w:val="0"/>
          <w:bCs w:val="0"/>
          <w:color w:val="auto"/>
          <w:sz w:val="32"/>
          <w:szCs w:val="32"/>
          <w:lang w:val="en-US" w:eastAsia="zh-CN"/>
        </w:rPr>
        <w:t>城乡居民基本公共卫生服务均等化水平不断提高，</w:t>
      </w:r>
      <w:r>
        <w:rPr>
          <w:rFonts w:hint="eastAsia" w:ascii="仿宋_GB2312" w:hAnsi="仿宋_GB2312" w:eastAsia="仿宋_GB2312" w:cs="仿宋_GB2312"/>
          <w:b w:val="0"/>
          <w:bCs w:val="0"/>
          <w:i w:val="0"/>
          <w:caps w:val="0"/>
          <w:color w:val="auto"/>
          <w:spacing w:val="0"/>
          <w:kern w:val="0"/>
          <w:sz w:val="32"/>
          <w:szCs w:val="32"/>
          <w:u w:val="none"/>
          <w:lang w:val="en-US" w:eastAsia="zh-CN" w:bidi="ar"/>
        </w:rPr>
        <w:t>城乡居民对基本公共卫生服务的“获得感”、“满意率”、“</w:t>
      </w:r>
      <w:r>
        <w:rPr>
          <w:rFonts w:hint="eastAsia" w:ascii="仿宋_GB2312" w:hAnsi="仿宋_GB2312" w:eastAsia="仿宋_GB2312" w:cs="仿宋_GB2312"/>
          <w:b w:val="0"/>
          <w:bCs w:val="0"/>
          <w:color w:val="auto"/>
          <w:sz w:val="32"/>
          <w:szCs w:val="32"/>
        </w:rPr>
        <w:t>知晓率</w:t>
      </w:r>
      <w:r>
        <w:rPr>
          <w:rFonts w:hint="eastAsia" w:ascii="仿宋_GB2312" w:hAnsi="仿宋_GB2312" w:eastAsia="仿宋_GB2312" w:cs="仿宋_GB2312"/>
          <w:b w:val="0"/>
          <w:bCs w:val="0"/>
          <w:i w:val="0"/>
          <w:caps w:val="0"/>
          <w:color w:val="auto"/>
          <w:spacing w:val="0"/>
          <w:kern w:val="0"/>
          <w:sz w:val="32"/>
          <w:szCs w:val="32"/>
          <w:u w:val="none"/>
          <w:lang w:val="en-US" w:eastAsia="zh-CN" w:bidi="ar"/>
        </w:rPr>
        <w:t>”</w:t>
      </w:r>
      <w:r>
        <w:rPr>
          <w:rFonts w:hint="eastAsia" w:ascii="仿宋_GB2312" w:hAnsi="仿宋_GB2312" w:eastAsia="仿宋_GB2312" w:cs="仿宋_GB2312"/>
          <w:b w:val="0"/>
          <w:bCs w:val="0"/>
          <w:i w:val="0"/>
          <w:caps w:val="0"/>
          <w:color w:val="auto"/>
          <w:spacing w:val="0"/>
          <w:sz w:val="32"/>
          <w:szCs w:val="32"/>
          <w:u w:val="none"/>
          <w:lang w:eastAsia="zh-CN"/>
        </w:rPr>
        <w:t>不断提高，</w:t>
      </w:r>
      <w:r>
        <w:rPr>
          <w:rFonts w:hint="eastAsia" w:ascii="仿宋_GB2312" w:hAnsi="仿宋_GB2312" w:eastAsia="仿宋_GB2312" w:cs="仿宋_GB2312"/>
          <w:b w:val="0"/>
          <w:bCs w:val="0"/>
          <w:color w:val="auto"/>
          <w:sz w:val="32"/>
          <w:szCs w:val="32"/>
        </w:rPr>
        <w:t>增强了辖区居民与基层服务卫生机构的互动性，群众对</w:t>
      </w:r>
      <w:r>
        <w:rPr>
          <w:rFonts w:hint="eastAsia" w:ascii="仿宋_GB2312" w:hAnsi="仿宋_GB2312" w:eastAsia="仿宋_GB2312" w:cs="仿宋_GB2312"/>
          <w:b w:val="0"/>
          <w:bCs w:val="0"/>
          <w:color w:val="auto"/>
          <w:sz w:val="32"/>
          <w:szCs w:val="32"/>
          <w:lang w:eastAsia="zh-CN"/>
        </w:rPr>
        <w:t>基层</w:t>
      </w:r>
      <w:r>
        <w:rPr>
          <w:rFonts w:hint="eastAsia" w:ascii="仿宋_GB2312" w:hAnsi="仿宋_GB2312" w:eastAsia="仿宋_GB2312" w:cs="仿宋_GB2312"/>
          <w:b w:val="0"/>
          <w:bCs w:val="0"/>
          <w:color w:val="auto"/>
          <w:sz w:val="32"/>
          <w:szCs w:val="32"/>
        </w:rPr>
        <w:t>医疗卫生机构的信任度明显提</w:t>
      </w:r>
      <w:r>
        <w:rPr>
          <w:rFonts w:hint="eastAsia" w:ascii="仿宋_GB2312" w:hAnsi="仿宋_GB2312" w:eastAsia="仿宋_GB2312" w:cs="仿宋_GB2312"/>
          <w:b w:val="0"/>
          <w:bCs w:val="0"/>
          <w:color w:val="auto"/>
          <w:sz w:val="32"/>
          <w:szCs w:val="32"/>
          <w:lang w:eastAsia="zh-CN"/>
        </w:rPr>
        <w:t>升，</w:t>
      </w:r>
      <w:r>
        <w:rPr>
          <w:rFonts w:hint="eastAsia" w:ascii="仿宋" w:hAnsi="仿宋" w:eastAsia="仿宋" w:cs="仿宋"/>
          <w:b w:val="0"/>
          <w:bCs w:val="0"/>
          <w:color w:val="auto"/>
          <w:sz w:val="32"/>
          <w:szCs w:val="32"/>
          <w:lang w:val="en-US" w:eastAsia="zh-CN"/>
        </w:rPr>
        <w:t xml:space="preserve">达到预期目标。    </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黑体" w:hAnsi="黑体" w:eastAsia="黑体" w:cs="黑体"/>
          <w:b/>
          <w:bCs/>
          <w:color w:val="auto"/>
          <w:sz w:val="32"/>
          <w:szCs w:val="32"/>
          <w:lang w:val="en-US" w:eastAsia="zh-CN"/>
        </w:rPr>
      </w:pP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bCs/>
          <w:color w:val="auto"/>
          <w:sz w:val="32"/>
          <w:szCs w:val="32"/>
          <w:lang w:val="en-US" w:eastAsia="zh-CN"/>
        </w:rPr>
        <w:t xml:space="preserve">    </w:t>
      </w:r>
      <w:bookmarkStart w:id="0" w:name="_GoBack"/>
      <w:bookmarkEnd w:id="0"/>
      <w:r>
        <w:rPr>
          <w:rFonts w:hint="eastAsia" w:ascii="黑体" w:hAnsi="黑体" w:eastAsia="黑体" w:cs="黑体"/>
          <w:b/>
          <w:bCs/>
          <w:color w:val="auto"/>
          <w:sz w:val="32"/>
          <w:szCs w:val="32"/>
          <w:lang w:val="en-US" w:eastAsia="zh-CN"/>
        </w:rPr>
        <w:t>三、下一步改进措施</w:t>
      </w:r>
    </w:p>
    <w:p>
      <w:pPr>
        <w:keepNext w:val="0"/>
        <w:keepLines w:val="0"/>
        <w:pageBreakBefore w:val="0"/>
        <w:widowControl/>
        <w:kinsoku/>
        <w:wordWrap/>
        <w:topLinePunct w:val="0"/>
        <w:autoSpaceDE/>
        <w:autoSpaceDN/>
        <w:bidi w:val="0"/>
        <w:adjustRightInd/>
        <w:snapToGrid/>
        <w:spacing w:line="600" w:lineRule="exact"/>
        <w:ind w:right="0" w:rightChars="0" w:firstLine="643" w:firstLineChars="200"/>
        <w:textAlignment w:val="auto"/>
        <w:outlineLvl w:val="9"/>
        <w:rPr>
          <w:rFonts w:hint="eastAsia" w:ascii="仿宋" w:hAnsi="仿宋" w:eastAsia="仿宋" w:cs="仿宋"/>
          <w:color w:val="auto"/>
          <w:kern w:val="0"/>
          <w:sz w:val="32"/>
          <w:szCs w:val="32"/>
          <w:lang w:bidi="ar"/>
        </w:rPr>
      </w:pPr>
      <w:r>
        <w:rPr>
          <w:rFonts w:hint="eastAsia" w:ascii="楷体" w:hAnsi="楷体" w:eastAsia="楷体" w:cs="楷体"/>
          <w:b/>
          <w:bCs/>
          <w:color w:val="auto"/>
          <w:sz w:val="32"/>
          <w:szCs w:val="32"/>
          <w:u w:val="none" w:color="000000"/>
          <w:lang w:val="zh-TW" w:eastAsia="zh-CN"/>
        </w:rPr>
        <w:t>（一）坚持</w:t>
      </w:r>
      <w:r>
        <w:rPr>
          <w:rFonts w:hint="eastAsia" w:ascii="楷体" w:hAnsi="楷体" w:eastAsia="楷体" w:cs="楷体"/>
          <w:b/>
          <w:bCs/>
          <w:color w:val="auto"/>
          <w:kern w:val="0"/>
          <w:sz w:val="32"/>
          <w:szCs w:val="32"/>
          <w:lang w:bidi="ar"/>
        </w:rPr>
        <w:t>转移支付资金</w:t>
      </w:r>
      <w:r>
        <w:rPr>
          <w:rFonts w:hint="eastAsia" w:ascii="楷体" w:hAnsi="楷体" w:eastAsia="楷体" w:cs="楷体"/>
          <w:b/>
          <w:bCs/>
          <w:color w:val="auto"/>
          <w:kern w:val="0"/>
          <w:sz w:val="32"/>
          <w:szCs w:val="32"/>
          <w:lang w:eastAsia="zh-CN" w:bidi="ar"/>
        </w:rPr>
        <w:t>的</w:t>
      </w:r>
      <w:r>
        <w:rPr>
          <w:rFonts w:hint="eastAsia" w:ascii="楷体" w:hAnsi="楷体" w:eastAsia="楷体" w:cs="楷体"/>
          <w:b/>
          <w:bCs/>
          <w:color w:val="auto"/>
          <w:kern w:val="0"/>
          <w:sz w:val="32"/>
          <w:szCs w:val="32"/>
          <w:lang w:bidi="ar"/>
        </w:rPr>
        <w:t>分配和管理原则</w:t>
      </w:r>
      <w:r>
        <w:rPr>
          <w:rFonts w:hint="eastAsia" w:ascii="楷体" w:hAnsi="楷体" w:eastAsia="楷体" w:cs="楷体"/>
          <w:b/>
          <w:bCs/>
          <w:color w:val="auto"/>
          <w:kern w:val="0"/>
          <w:sz w:val="32"/>
          <w:szCs w:val="32"/>
          <w:lang w:eastAsia="zh-CN" w:bidi="ar"/>
        </w:rPr>
        <w:t>。</w:t>
      </w:r>
      <w:r>
        <w:rPr>
          <w:rFonts w:hint="eastAsia" w:ascii="仿宋" w:hAnsi="仿宋" w:eastAsia="仿宋" w:cs="仿宋"/>
          <w:color w:val="auto"/>
          <w:kern w:val="0"/>
          <w:sz w:val="32"/>
          <w:szCs w:val="32"/>
          <w:lang w:bidi="ar"/>
        </w:rPr>
        <w:t>合理规划，科学论证</w:t>
      </w:r>
      <w:r>
        <w:rPr>
          <w:rFonts w:hint="eastAsia" w:ascii="仿宋" w:hAnsi="仿宋" w:eastAsia="仿宋" w:cs="仿宋"/>
          <w:color w:val="auto"/>
          <w:kern w:val="0"/>
          <w:sz w:val="32"/>
          <w:szCs w:val="32"/>
          <w:lang w:eastAsia="zh-CN" w:bidi="ar"/>
        </w:rPr>
        <w:t>，</w:t>
      </w:r>
      <w:r>
        <w:rPr>
          <w:rFonts w:hint="eastAsia" w:ascii="仿宋" w:hAnsi="仿宋" w:eastAsia="仿宋" w:cs="仿宋"/>
          <w:color w:val="auto"/>
          <w:kern w:val="0"/>
          <w:sz w:val="32"/>
          <w:szCs w:val="32"/>
          <w:lang w:val="en-US" w:eastAsia="zh-CN" w:bidi="ar"/>
        </w:rPr>
        <w:t xml:space="preserve"> </w:t>
      </w:r>
      <w:r>
        <w:rPr>
          <w:rFonts w:hint="eastAsia" w:ascii="仿宋" w:hAnsi="仿宋" w:eastAsia="仿宋" w:cs="仿宋"/>
          <w:color w:val="auto"/>
          <w:kern w:val="0"/>
          <w:sz w:val="32"/>
          <w:szCs w:val="32"/>
          <w:lang w:bidi="ar"/>
        </w:rPr>
        <w:t>统一分配，分级管理</w:t>
      </w:r>
      <w:r>
        <w:rPr>
          <w:rFonts w:hint="eastAsia" w:ascii="仿宋" w:hAnsi="仿宋" w:eastAsia="仿宋" w:cs="仿宋"/>
          <w:color w:val="auto"/>
          <w:kern w:val="0"/>
          <w:sz w:val="32"/>
          <w:szCs w:val="32"/>
          <w:lang w:eastAsia="zh-CN" w:bidi="ar"/>
        </w:rPr>
        <w:t>，</w:t>
      </w:r>
      <w:r>
        <w:rPr>
          <w:rFonts w:hint="eastAsia" w:ascii="仿宋" w:hAnsi="仿宋" w:eastAsia="仿宋" w:cs="仿宋"/>
          <w:color w:val="auto"/>
          <w:kern w:val="0"/>
          <w:sz w:val="32"/>
          <w:szCs w:val="32"/>
          <w:lang w:bidi="ar"/>
        </w:rPr>
        <w:t>讲求绩效，量效挂钩</w:t>
      </w:r>
      <w:r>
        <w:rPr>
          <w:rFonts w:hint="eastAsia" w:ascii="仿宋" w:hAnsi="仿宋" w:eastAsia="仿宋" w:cs="仿宋"/>
          <w:color w:val="auto"/>
          <w:kern w:val="0"/>
          <w:sz w:val="32"/>
          <w:szCs w:val="32"/>
          <w:lang w:eastAsia="zh-CN" w:bidi="ar"/>
        </w:rPr>
        <w:t>，</w:t>
      </w:r>
      <w:r>
        <w:rPr>
          <w:rFonts w:hint="eastAsia" w:ascii="仿宋" w:hAnsi="仿宋" w:eastAsia="仿宋" w:cs="仿宋"/>
          <w:color w:val="auto"/>
          <w:kern w:val="0"/>
          <w:sz w:val="32"/>
          <w:szCs w:val="32"/>
          <w:lang w:bidi="ar"/>
        </w:rPr>
        <w:t>建立</w:t>
      </w:r>
      <w:r>
        <w:rPr>
          <w:rFonts w:hint="eastAsia" w:ascii="仿宋" w:hAnsi="仿宋" w:eastAsia="仿宋" w:cs="仿宋"/>
          <w:color w:val="auto"/>
          <w:kern w:val="0"/>
          <w:sz w:val="32"/>
          <w:szCs w:val="32"/>
          <w:lang w:eastAsia="zh-CN" w:bidi="ar"/>
        </w:rPr>
        <w:t>完善</w:t>
      </w:r>
      <w:r>
        <w:rPr>
          <w:rFonts w:hint="eastAsia" w:ascii="仿宋" w:hAnsi="仿宋" w:eastAsia="仿宋" w:cs="仿宋"/>
          <w:color w:val="auto"/>
          <w:kern w:val="0"/>
          <w:sz w:val="32"/>
          <w:szCs w:val="32"/>
          <w:lang w:bidi="ar"/>
        </w:rPr>
        <w:t>绩效评价结果与资金分配挂钩机制，提高转移支付资金使用效益。</w:t>
      </w:r>
    </w:p>
    <w:p>
      <w:pPr>
        <w:keepNext w:val="0"/>
        <w:keepLines w:val="0"/>
        <w:pageBreakBefore w:val="0"/>
        <w:widowControl/>
        <w:kinsoku/>
        <w:wordWrap/>
        <w:topLinePunct w:val="0"/>
        <w:autoSpaceDE/>
        <w:autoSpaceDN/>
        <w:bidi w:val="0"/>
        <w:adjustRightInd/>
        <w:snapToGrid/>
        <w:spacing w:line="600" w:lineRule="exact"/>
        <w:ind w:right="0" w:rightChars="0" w:firstLine="643" w:firstLineChars="200"/>
        <w:textAlignment w:val="auto"/>
        <w:outlineLvl w:val="9"/>
        <w:rPr>
          <w:rFonts w:hint="eastAsia" w:ascii="仿宋" w:hAnsi="仿宋" w:eastAsia="仿宋" w:cs="仿宋"/>
          <w:color w:val="auto"/>
          <w:kern w:val="0"/>
          <w:sz w:val="32"/>
          <w:szCs w:val="32"/>
          <w:lang w:val="en-US" w:eastAsia="zh-CN"/>
        </w:rPr>
      </w:pPr>
      <w:r>
        <w:rPr>
          <w:rFonts w:hint="eastAsia" w:ascii="楷体" w:hAnsi="楷体" w:eastAsia="楷体"/>
          <w:b/>
          <w:bCs/>
          <w:color w:val="auto"/>
          <w:sz w:val="32"/>
          <w:szCs w:val="32"/>
          <w:u w:val="none" w:color="000000"/>
          <w:lang w:val="en-US" w:eastAsia="zh-CN"/>
        </w:rPr>
        <w:t>（二）严格资金</w:t>
      </w:r>
      <w:r>
        <w:rPr>
          <w:rFonts w:hint="eastAsia" w:ascii="仿宋" w:hAnsi="仿宋" w:eastAsia="仿宋" w:cs="仿宋"/>
          <w:b/>
          <w:bCs/>
          <w:color w:val="auto"/>
          <w:kern w:val="0"/>
          <w:sz w:val="32"/>
          <w:szCs w:val="32"/>
        </w:rPr>
        <w:t>绩效评价</w:t>
      </w:r>
      <w:r>
        <w:rPr>
          <w:rFonts w:hint="eastAsia" w:ascii="楷体" w:hAnsi="楷体" w:eastAsia="楷体"/>
          <w:b/>
          <w:bCs/>
          <w:color w:val="auto"/>
          <w:sz w:val="32"/>
          <w:szCs w:val="32"/>
          <w:u w:val="none" w:color="000000"/>
          <w:lang w:val="en-US" w:eastAsia="zh-CN"/>
        </w:rPr>
        <w:t>。</w:t>
      </w:r>
      <w:r>
        <w:rPr>
          <w:rFonts w:hint="eastAsia" w:ascii="仿宋" w:hAnsi="仿宋" w:eastAsia="仿宋" w:cs="仿宋"/>
          <w:color w:val="auto"/>
          <w:kern w:val="0"/>
          <w:sz w:val="32"/>
          <w:szCs w:val="32"/>
        </w:rPr>
        <w:t>强化绩效目标管理，做好绩效监控和绩效评价，并加强评价结果应用</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 xml:space="preserve"> </w:t>
      </w:r>
    </w:p>
    <w:p>
      <w:pPr>
        <w:keepNext w:val="0"/>
        <w:keepLines w:val="0"/>
        <w:pageBreakBefore w:val="0"/>
        <w:widowControl/>
        <w:kinsoku/>
        <w:wordWrap/>
        <w:topLinePunct w:val="0"/>
        <w:autoSpaceDE/>
        <w:autoSpaceDN/>
        <w:bidi w:val="0"/>
        <w:adjustRightInd/>
        <w:snapToGrid/>
        <w:spacing w:line="600" w:lineRule="exact"/>
        <w:ind w:right="0" w:rightChars="0" w:firstLine="643" w:firstLineChars="200"/>
        <w:textAlignment w:val="auto"/>
        <w:outlineLvl w:val="9"/>
        <w:rPr>
          <w:rFonts w:hint="eastAsia" w:ascii="仿宋" w:hAnsi="仿宋" w:eastAsia="仿宋" w:cs="仿宋"/>
          <w:b w:val="0"/>
          <w:bCs w:val="0"/>
          <w:color w:val="auto"/>
          <w:sz w:val="32"/>
          <w:szCs w:val="32"/>
          <w:lang w:val="en-US" w:eastAsia="zh-CN"/>
        </w:rPr>
      </w:pPr>
      <w:r>
        <w:rPr>
          <w:rFonts w:hint="eastAsia" w:ascii="楷体" w:hAnsi="楷体" w:eastAsia="楷体" w:cs="楷体"/>
          <w:b/>
          <w:bCs/>
          <w:color w:val="auto"/>
          <w:kern w:val="0"/>
          <w:sz w:val="32"/>
          <w:szCs w:val="32"/>
          <w:lang w:val="en-US" w:eastAsia="zh-CN"/>
        </w:rPr>
        <w:t>（三）</w:t>
      </w:r>
      <w:r>
        <w:rPr>
          <w:rFonts w:hint="eastAsia" w:ascii="楷体" w:hAnsi="楷体" w:eastAsia="楷体"/>
          <w:b/>
          <w:bCs/>
          <w:color w:val="auto"/>
          <w:sz w:val="32"/>
          <w:szCs w:val="32"/>
          <w:u w:val="none" w:color="000000"/>
          <w:lang w:val="en-US" w:eastAsia="zh-CN"/>
        </w:rPr>
        <w:t>接受监督</w:t>
      </w:r>
      <w:r>
        <w:rPr>
          <w:rFonts w:ascii="楷体" w:hAnsi="楷体" w:eastAsia="楷体"/>
          <w:b/>
          <w:bCs/>
          <w:color w:val="auto"/>
          <w:sz w:val="32"/>
          <w:szCs w:val="32"/>
          <w:u w:val="none" w:color="000000"/>
        </w:rPr>
        <w:t>。</w:t>
      </w:r>
      <w:r>
        <w:rPr>
          <w:rFonts w:hint="eastAsia" w:ascii="仿宋" w:hAnsi="仿宋" w:eastAsia="仿宋" w:cs="仿宋"/>
          <w:color w:val="auto"/>
          <w:kern w:val="0"/>
          <w:sz w:val="32"/>
          <w:szCs w:val="32"/>
          <w:lang w:bidi="ar"/>
        </w:rPr>
        <w:t>开展转移支付资金监督检查工作</w:t>
      </w:r>
      <w:r>
        <w:rPr>
          <w:rFonts w:hint="eastAsia" w:ascii="仿宋" w:hAnsi="仿宋" w:eastAsia="仿宋" w:cs="仿宋"/>
          <w:color w:val="auto"/>
          <w:kern w:val="0"/>
          <w:sz w:val="32"/>
          <w:szCs w:val="32"/>
          <w:lang w:eastAsia="zh-CN" w:bidi="ar"/>
        </w:rPr>
        <w:t>，</w:t>
      </w:r>
      <w:r>
        <w:rPr>
          <w:rFonts w:hint="eastAsia" w:ascii="仿宋" w:hAnsi="仿宋" w:eastAsia="仿宋" w:cs="仿宋"/>
          <w:color w:val="auto"/>
          <w:kern w:val="0"/>
          <w:sz w:val="32"/>
          <w:szCs w:val="32"/>
          <w:lang w:bidi="ar"/>
        </w:rPr>
        <w:t>依法接受财政、审计、监察等部门监督，及时发现和纠正有关问题，确保资金安全。</w:t>
      </w:r>
      <w:r>
        <w:rPr>
          <w:rFonts w:hint="eastAsia" w:ascii="仿宋" w:hAnsi="仿宋" w:eastAsia="仿宋" w:cs="仿宋"/>
          <w:b w:val="0"/>
          <w:bCs w:val="0"/>
          <w:color w:val="auto"/>
          <w:sz w:val="32"/>
          <w:szCs w:val="32"/>
          <w:u w:val="non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both"/>
        <w:textAlignment w:val="auto"/>
        <w:outlineLvl w:val="9"/>
        <w:rPr>
          <w:rFonts w:hint="eastAsia" w:ascii="仿宋" w:hAnsi="仿宋" w:eastAsia="仿宋" w:cs="仿宋"/>
          <w:b w:val="0"/>
          <w:bCs w:val="0"/>
          <w:sz w:val="18"/>
          <w:szCs w:val="18"/>
          <w:lang w:val="en-US" w:eastAsia="zh-CN"/>
        </w:rPr>
      </w:pPr>
    </w:p>
    <w:sectPr>
      <w:headerReference r:id="rId3" w:type="default"/>
      <w:footerReference r:id="rId4" w:type="default"/>
      <w:pgSz w:w="11906" w:h="16838"/>
      <w:pgMar w:top="1984" w:right="1134" w:bottom="1701"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B0F7C"/>
    <w:rsid w:val="00A74378"/>
    <w:rsid w:val="01361911"/>
    <w:rsid w:val="02287C64"/>
    <w:rsid w:val="026A23A1"/>
    <w:rsid w:val="02E56049"/>
    <w:rsid w:val="041F5628"/>
    <w:rsid w:val="056A4733"/>
    <w:rsid w:val="05E67239"/>
    <w:rsid w:val="06947C95"/>
    <w:rsid w:val="07313852"/>
    <w:rsid w:val="076E51B8"/>
    <w:rsid w:val="0793786A"/>
    <w:rsid w:val="07D43AD5"/>
    <w:rsid w:val="0A282A54"/>
    <w:rsid w:val="0B346376"/>
    <w:rsid w:val="0BFE1BF8"/>
    <w:rsid w:val="0C5E5CF7"/>
    <w:rsid w:val="0D2C65A0"/>
    <w:rsid w:val="0D9E6C1F"/>
    <w:rsid w:val="0E716209"/>
    <w:rsid w:val="10376C1E"/>
    <w:rsid w:val="11010F6D"/>
    <w:rsid w:val="112C4697"/>
    <w:rsid w:val="12CE79A1"/>
    <w:rsid w:val="14607FC4"/>
    <w:rsid w:val="16377978"/>
    <w:rsid w:val="16E6449A"/>
    <w:rsid w:val="17BA43C0"/>
    <w:rsid w:val="18BE0880"/>
    <w:rsid w:val="19D3222F"/>
    <w:rsid w:val="1A930FE9"/>
    <w:rsid w:val="1BE17209"/>
    <w:rsid w:val="1E3F0F8C"/>
    <w:rsid w:val="1E6D08BB"/>
    <w:rsid w:val="1E9E38D5"/>
    <w:rsid w:val="1EFF124F"/>
    <w:rsid w:val="1F0B7BF4"/>
    <w:rsid w:val="22C179E6"/>
    <w:rsid w:val="24D53C69"/>
    <w:rsid w:val="2563419A"/>
    <w:rsid w:val="25D16D12"/>
    <w:rsid w:val="27604842"/>
    <w:rsid w:val="27BE787C"/>
    <w:rsid w:val="2E6F6E65"/>
    <w:rsid w:val="2E8D71BD"/>
    <w:rsid w:val="2FDA5B20"/>
    <w:rsid w:val="32437551"/>
    <w:rsid w:val="34317B2A"/>
    <w:rsid w:val="35A47199"/>
    <w:rsid w:val="36FD549E"/>
    <w:rsid w:val="37426238"/>
    <w:rsid w:val="385B0E4C"/>
    <w:rsid w:val="38CF5263"/>
    <w:rsid w:val="395C3D29"/>
    <w:rsid w:val="3A0625C5"/>
    <w:rsid w:val="3D0B2FA7"/>
    <w:rsid w:val="3D692254"/>
    <w:rsid w:val="3DC66373"/>
    <w:rsid w:val="3E4D3BE3"/>
    <w:rsid w:val="3E7F06BC"/>
    <w:rsid w:val="40D555CF"/>
    <w:rsid w:val="4261440C"/>
    <w:rsid w:val="42A51E38"/>
    <w:rsid w:val="435B7A20"/>
    <w:rsid w:val="438C462B"/>
    <w:rsid w:val="44D706C8"/>
    <w:rsid w:val="46A76C0C"/>
    <w:rsid w:val="46B2628E"/>
    <w:rsid w:val="47133341"/>
    <w:rsid w:val="47C532AC"/>
    <w:rsid w:val="488E5E59"/>
    <w:rsid w:val="4A510BC5"/>
    <w:rsid w:val="4DBC60B8"/>
    <w:rsid w:val="527B01E6"/>
    <w:rsid w:val="54EE3C7A"/>
    <w:rsid w:val="58EB5F2A"/>
    <w:rsid w:val="5B254825"/>
    <w:rsid w:val="5D46128F"/>
    <w:rsid w:val="5D711A35"/>
    <w:rsid w:val="5E3E2126"/>
    <w:rsid w:val="5E697E90"/>
    <w:rsid w:val="5FA52F14"/>
    <w:rsid w:val="5FF37157"/>
    <w:rsid w:val="605C3200"/>
    <w:rsid w:val="613055BD"/>
    <w:rsid w:val="61D247FA"/>
    <w:rsid w:val="62D54F59"/>
    <w:rsid w:val="644915D3"/>
    <w:rsid w:val="64FA12E8"/>
    <w:rsid w:val="661C475C"/>
    <w:rsid w:val="66DB7457"/>
    <w:rsid w:val="68391E3C"/>
    <w:rsid w:val="6C7E0625"/>
    <w:rsid w:val="6EDF58E8"/>
    <w:rsid w:val="6FCF2C54"/>
    <w:rsid w:val="71125845"/>
    <w:rsid w:val="72CD00BE"/>
    <w:rsid w:val="734E1C3C"/>
    <w:rsid w:val="76A27B6C"/>
    <w:rsid w:val="78100640"/>
    <w:rsid w:val="78A94498"/>
    <w:rsid w:val="78D70A14"/>
    <w:rsid w:val="7AEA0FC8"/>
    <w:rsid w:val="7B1D5512"/>
    <w:rsid w:val="7CDC29D3"/>
    <w:rsid w:val="7D6A756E"/>
    <w:rsid w:val="7E0A00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Body Text Indent"/>
    <w:basedOn w:val="1"/>
    <w:qFormat/>
    <w:uiPriority w:val="0"/>
    <w:pPr>
      <w:topLinePunct/>
      <w:spacing w:line="360" w:lineRule="auto"/>
      <w:ind w:firstLine="567"/>
    </w:pPr>
    <w:rPr>
      <w:rFonts w:ascii="Calibri" w:hAnsi="Calibri" w:eastAsia="仿宋_GB2312"/>
      <w:kern w:val="0"/>
      <w:sz w:val="28"/>
      <w:szCs w:val="24"/>
    </w:rPr>
  </w:style>
  <w:style w:type="paragraph" w:customStyle="1" w:styleId="8">
    <w:name w:val="List Paragraph"/>
    <w:basedOn w:val="1"/>
    <w:qFormat/>
    <w:uiPriority w:val="0"/>
    <w:pPr>
      <w:ind w:firstLine="420" w:firstLineChars="200"/>
    </w:pPr>
    <w:rPr>
      <w:rFonts w:ascii="Calibri" w:hAnsi="Calibri" w:eastAsia="仿宋_GB2312"/>
      <w:sz w:val="32"/>
    </w:rPr>
  </w:style>
  <w:style w:type="paragraph" w:customStyle="1" w:styleId="9">
    <w:name w:val="No Spacing"/>
    <w:qFormat/>
    <w:uiPriority w:val="99"/>
    <w:pPr>
      <w:widowControl w:val="0"/>
      <w:spacing w:after="8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2947</Words>
  <Characters>3324</Characters>
  <Lines>0</Lines>
  <Paragraphs>0</Paragraphs>
  <TotalTime>10</TotalTime>
  <ScaleCrop>false</ScaleCrop>
  <LinksUpToDate>false</LinksUpToDate>
  <CharactersWithSpaces>3487</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2019-03-18T02:33:00Z</dcterms:created>
  <dc:creator>Administrator</dc:creator>
  <cp:lastModifiedBy>厉冰雪</cp:lastModifiedBy>
  <cp:lastPrinted>2022-03-10T03:34:00Z</cp:lastPrinted>
  <dcterms:modified xsi:type="dcterms:W3CDTF">2022-04-25T08:25:19Z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201CEF2500E04B1F9F7441BF38B85B50</vt:lpwstr>
  </property>
</Properties>
</file>