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2021年度基层卫生人才能力提升培训（国培项目）专项转移支付绩效自评报告</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三门峡市卫生健康委</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（2022年4月25日）</w:t>
      </w:r>
    </w:p>
    <w:p>
      <w:pPr>
        <w:jc w:val="center"/>
        <w:rPr>
          <w:rFonts w:hint="eastAsia" w:ascii="楷体" w:hAnsi="楷体" w:eastAsia="楷体" w:cs="楷体"/>
          <w:b/>
          <w:bCs/>
          <w:sz w:val="32"/>
          <w:szCs w:val="32"/>
          <w:lang w:val="en-US" w:eastAsia="zh-CN"/>
        </w:rPr>
      </w:pPr>
    </w:p>
    <w:p>
      <w:pPr>
        <w:rPr>
          <w:rFonts w:hint="eastAsia" w:ascii="黑体" w:hAnsi="黑体" w:eastAsia="黑体" w:cs="黑体"/>
          <w:b/>
          <w:bCs/>
          <w:color w:val="auto"/>
          <w:sz w:val="32"/>
          <w:szCs w:val="32"/>
          <w:lang w:val="en-US" w:eastAsia="zh-CN"/>
        </w:rPr>
      </w:pPr>
      <w:r>
        <w:rPr>
          <w:rFonts w:hint="eastAsia" w:ascii="黑体" w:hAnsi="黑体" w:eastAsia="黑体" w:cs="黑体"/>
          <w:b/>
          <w:bCs/>
          <w:sz w:val="32"/>
          <w:szCs w:val="32"/>
          <w:lang w:val="en-US" w:eastAsia="zh-CN"/>
        </w:rPr>
        <w:t xml:space="preserve">    </w:t>
      </w:r>
      <w:r>
        <w:rPr>
          <w:rFonts w:hint="eastAsia" w:ascii="黑体" w:hAnsi="黑体" w:eastAsia="黑体" w:cs="黑体"/>
          <w:b/>
          <w:bCs/>
          <w:color w:val="auto"/>
          <w:sz w:val="32"/>
          <w:szCs w:val="32"/>
          <w:lang w:val="en-US" w:eastAsia="zh-CN"/>
        </w:rPr>
        <w:t xml:space="preserve"> 一、绩效目标下达情况</w:t>
      </w:r>
    </w:p>
    <w:p>
      <w:pPr>
        <w:keepNext w:val="0"/>
        <w:keepLines w:val="0"/>
        <w:pageBreakBefore w:val="0"/>
        <w:widowControl/>
        <w:kinsoku/>
        <w:wordWrap w:val="0"/>
        <w:bidi w:val="0"/>
        <w:spacing w:line="600" w:lineRule="exact"/>
        <w:ind w:left="0" w:leftChars="0" w:right="0" w:rightChars="0" w:firstLine="642"/>
        <w:jc w:val="right"/>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根据《河南省财政厅河南省卫生健康委员会关于下达</w:t>
      </w:r>
      <w:r>
        <w:rPr>
          <w:rFonts w:hint="eastAsia" w:ascii="仿宋" w:hAnsi="仿宋" w:eastAsia="仿宋" w:cs="仿宋"/>
          <w:b w:val="0"/>
          <w:bCs w:val="0"/>
          <w:color w:val="auto"/>
          <w:sz w:val="32"/>
          <w:szCs w:val="32"/>
          <w:lang w:val="en-US" w:eastAsia="zh-CN"/>
        </w:rPr>
        <w:t>2021年医疗服务与保障能力提升（卫生健康人才培养）补助资金的通知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豫</w:t>
      </w:r>
    </w:p>
    <w:p>
      <w:pPr>
        <w:keepNext w:val="0"/>
        <w:keepLines w:val="0"/>
        <w:pageBreakBefore w:val="0"/>
        <w:widowControl/>
        <w:kinsoku/>
        <w:wordWrap w:val="0"/>
        <w:bidi w:val="0"/>
        <w:spacing w:line="600" w:lineRule="exact"/>
        <w:ind w:left="0" w:leftChars="0" w:right="0" w:rightChars="0"/>
        <w:jc w:val="both"/>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）下达我市资金预算指标</w:t>
      </w:r>
      <w:r>
        <w:rPr>
          <w:rFonts w:hint="eastAsia" w:ascii="仿宋" w:hAnsi="仿宋" w:eastAsia="仿宋" w:cs="仿宋"/>
          <w:b w:val="0"/>
          <w:bCs w:val="0"/>
          <w:color w:val="auto"/>
          <w:sz w:val="32"/>
          <w:szCs w:val="32"/>
          <w:lang w:val="en-US" w:eastAsia="zh-CN"/>
        </w:rPr>
        <w:t>76万元，其中：</w:t>
      </w:r>
      <w:r>
        <w:rPr>
          <w:rFonts w:hint="eastAsia" w:ascii="仿宋" w:hAnsi="仿宋" w:eastAsia="仿宋" w:cs="仿宋"/>
          <w:b w:val="0"/>
          <w:bCs w:val="0"/>
          <w:i w:val="0"/>
          <w:color w:val="auto"/>
          <w:kern w:val="0"/>
          <w:sz w:val="32"/>
          <w:szCs w:val="32"/>
          <w:u w:val="none"/>
          <w:lang w:val="en-US" w:eastAsia="zh-CN"/>
        </w:rPr>
        <w:t>乡镇卫生院和社区卫生服务中心骨干人员18.72万元、骨干全科医生9万元,乡村医生培训资金48.28万元。</w:t>
      </w:r>
    </w:p>
    <w:p>
      <w:pPr>
        <w:keepNext w:val="0"/>
        <w:keepLines w:val="0"/>
        <w:pageBreakBefore w:val="0"/>
        <w:kinsoku/>
        <w:overflowPunct w:val="0"/>
        <w:autoSpaceDE w:val="0"/>
        <w:autoSpaceDN w:val="0"/>
        <w:bidi w:val="0"/>
        <w:snapToGrid w:val="0"/>
        <w:spacing w:line="600" w:lineRule="exact"/>
        <w:ind w:left="0" w:leftChars="0" w:right="0" w:rightChars="0" w:firstLine="640"/>
        <w:jc w:val="left"/>
        <w:textAlignment w:val="auto"/>
        <w:outlineLvl w:val="9"/>
        <w:rPr>
          <w:rFonts w:hint="eastAsia" w:ascii="仿宋" w:hAnsi="仿宋" w:eastAsia="仿宋" w:cs="仿宋"/>
          <w:b w:val="0"/>
          <w:bCs w:val="0"/>
          <w:color w:val="auto"/>
          <w:sz w:val="32"/>
          <w:szCs w:val="32"/>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河南省卫生计生委关于印发20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年河南省基层卫生人才能力提升培训项目实施方案的通知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豫卫基层〔20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），省下达我市培训任务共</w:t>
      </w:r>
      <w:r>
        <w:rPr>
          <w:rFonts w:hint="eastAsia" w:ascii="仿宋_GB2312" w:hAnsi="仿宋_GB2312" w:eastAsia="仿宋_GB2312" w:cs="仿宋_GB2312"/>
          <w:sz w:val="32"/>
          <w:szCs w:val="32"/>
          <w:lang w:val="en-US" w:eastAsia="zh-CN"/>
        </w:rPr>
        <w:t>154人，其中：乡村医生135人（30天），乡镇卫生院和社区卫生服务中心骨干人员、骨干全科医生、分别为13人（120天）、6人（365天）。</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二、绩效目标完成情况分析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楷体" w:hAnsi="楷体" w:eastAsia="楷体" w:cs="楷体"/>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 （一）资金投入情况分析。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1、项目资金到位情况分析。</w:t>
      </w:r>
      <w:r>
        <w:rPr>
          <w:rFonts w:hint="eastAsia" w:ascii="仿宋" w:hAnsi="仿宋" w:eastAsia="仿宋" w:cs="仿宋"/>
          <w:color w:val="auto"/>
          <w:sz w:val="32"/>
          <w:szCs w:val="32"/>
          <w:lang w:val="en-US" w:eastAsia="zh-CN"/>
        </w:rPr>
        <w:t>中央项目资金2021年7月31日以“</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”下达我市，我市按照相关规定以“三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456</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”下达项目实施单位，其中：各县（市、区）卫生健康委组织用于135</w:t>
      </w:r>
      <w:r>
        <w:rPr>
          <w:rFonts w:hint="eastAsia" w:ascii="仿宋" w:hAnsi="仿宋" w:eastAsia="仿宋" w:cs="仿宋"/>
          <w:b w:val="0"/>
          <w:bCs w:val="0"/>
          <w:i w:val="0"/>
          <w:color w:val="auto"/>
          <w:kern w:val="0"/>
          <w:sz w:val="32"/>
          <w:szCs w:val="32"/>
          <w:u w:val="none"/>
          <w:lang w:val="en-US" w:eastAsia="zh-CN"/>
        </w:rPr>
        <w:t>人（30天）乡</w:t>
      </w:r>
      <w:r>
        <w:rPr>
          <w:rFonts w:hint="eastAsia" w:ascii="仿宋" w:hAnsi="仿宋" w:eastAsia="仿宋" w:cs="仿宋"/>
          <w:color w:val="auto"/>
          <w:sz w:val="32"/>
          <w:szCs w:val="32"/>
          <w:lang w:val="en-US" w:eastAsia="zh-CN"/>
        </w:rPr>
        <w:t>村医生培训资金</w:t>
      </w:r>
      <w:r>
        <w:rPr>
          <w:rFonts w:hint="eastAsia" w:ascii="仿宋" w:hAnsi="仿宋" w:eastAsia="仿宋" w:cs="仿宋"/>
          <w:b w:val="0"/>
          <w:bCs w:val="0"/>
          <w:i w:val="0"/>
          <w:color w:val="auto"/>
          <w:kern w:val="0"/>
          <w:sz w:val="32"/>
          <w:szCs w:val="32"/>
          <w:u w:val="none"/>
          <w:lang w:val="en-US" w:eastAsia="zh-CN"/>
        </w:rPr>
        <w:t>48.28</w:t>
      </w:r>
      <w:r>
        <w:rPr>
          <w:rFonts w:hint="eastAsia" w:ascii="仿宋" w:hAnsi="仿宋" w:eastAsia="仿宋" w:cs="仿宋"/>
          <w:color w:val="auto"/>
          <w:sz w:val="32"/>
          <w:szCs w:val="32"/>
          <w:lang w:val="en-US" w:eastAsia="zh-CN"/>
        </w:rPr>
        <w:t>万元，市中心医院承办的其他2个培训班27.72万元，资金到位率100%。</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2、项目资金执行情况分析。</w:t>
      </w:r>
      <w:r>
        <w:rPr>
          <w:rFonts w:hint="eastAsia" w:ascii="仿宋" w:hAnsi="仿宋" w:eastAsia="仿宋" w:cs="仿宋"/>
          <w:b w:val="0"/>
          <w:bCs w:val="0"/>
          <w:color w:val="auto"/>
          <w:sz w:val="32"/>
          <w:szCs w:val="32"/>
          <w:lang w:val="en-US" w:eastAsia="zh-CN"/>
        </w:rPr>
        <w:t>项目资金执行率100%。</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 xml:space="preserve"> 3、项目资金管理情况分析。</w:t>
      </w:r>
      <w:r>
        <w:rPr>
          <w:rFonts w:hint="eastAsia" w:ascii="仿宋" w:hAnsi="仿宋" w:eastAsia="仿宋" w:cs="仿宋"/>
          <w:b w:val="0"/>
          <w:bCs w:val="0"/>
          <w:color w:val="auto"/>
          <w:sz w:val="32"/>
          <w:szCs w:val="32"/>
          <w:lang w:val="en-US" w:eastAsia="zh-CN"/>
        </w:rPr>
        <w:t>按照中央财政医疗服务能力提升补助资金要求，补助资金用于支持开展基层卫生机构</w:t>
      </w:r>
      <w:r>
        <w:rPr>
          <w:rFonts w:hint="eastAsia" w:ascii="仿宋" w:hAnsi="仿宋" w:eastAsia="仿宋" w:cs="仿宋"/>
          <w:b w:val="0"/>
          <w:bCs w:val="0"/>
          <w:i w:val="0"/>
          <w:color w:val="auto"/>
          <w:kern w:val="0"/>
          <w:sz w:val="32"/>
          <w:szCs w:val="32"/>
          <w:u w:val="none"/>
          <w:lang w:val="en-US" w:eastAsia="zh-CN"/>
        </w:rPr>
        <w:t>临床医师、骨干全科医生、乡村医生的培训工作，专款专用。</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楷体" w:hAnsi="楷体" w:eastAsia="楷体" w:cs="楷体"/>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黑体" w:hAnsi="黑体" w:eastAsia="黑体" w:cs="黑体"/>
          <w:b/>
          <w:bCs/>
          <w:color w:val="auto"/>
          <w:sz w:val="32"/>
          <w:szCs w:val="32"/>
          <w:lang w:val="en-US" w:eastAsia="zh-CN"/>
        </w:rPr>
        <w:t xml:space="preserve"> </w:t>
      </w:r>
      <w:r>
        <w:rPr>
          <w:rFonts w:hint="eastAsia" w:ascii="楷体" w:hAnsi="楷体" w:eastAsia="楷体" w:cs="楷体"/>
          <w:b/>
          <w:bCs/>
          <w:color w:val="auto"/>
          <w:sz w:val="32"/>
          <w:szCs w:val="32"/>
          <w:lang w:val="en-US" w:eastAsia="zh-CN"/>
        </w:rPr>
        <w:t>（二）绩效目标完成情况分析。（根据年初绩效目标及指标逐项分析）</w:t>
      </w:r>
    </w:p>
    <w:p>
      <w:pPr>
        <w:keepNext w:val="0"/>
        <w:keepLines w:val="0"/>
        <w:pageBreakBefore w:val="0"/>
        <w:kinsoku/>
        <w:overflowPunct w:val="0"/>
        <w:autoSpaceDE w:val="0"/>
        <w:autoSpaceDN w:val="0"/>
        <w:bidi w:val="0"/>
        <w:adjustRightInd w:val="0"/>
        <w:snapToGrid w:val="0"/>
        <w:spacing w:line="600" w:lineRule="exact"/>
        <w:ind w:left="0" w:leftChars="0" w:right="0" w:rightChars="0"/>
        <w:jc w:val="center"/>
        <w:textAlignment w:val="auto"/>
        <w:outlineLvl w:val="9"/>
        <w:rPr>
          <w:rFonts w:hint="eastAsia" w:ascii="仿宋" w:hAnsi="仿宋" w:eastAsia="仿宋" w:cs="仿宋"/>
          <w:b w:val="0"/>
          <w:bCs w:val="0"/>
          <w:color w:val="auto"/>
          <w:sz w:val="32"/>
          <w:szCs w:val="32"/>
        </w:rPr>
      </w:pPr>
      <w:r>
        <w:rPr>
          <w:rFonts w:hint="eastAsia" w:ascii="仿宋" w:hAnsi="仿宋" w:eastAsia="仿宋" w:cs="仿宋"/>
          <w:color w:val="auto"/>
          <w:kern w:val="0"/>
          <w:sz w:val="32"/>
          <w:szCs w:val="32"/>
          <w:u w:val="none" w:color="000000"/>
          <w:lang w:val="en-US" w:eastAsia="zh-CN"/>
        </w:rPr>
        <w:t xml:space="preserve">     </w:t>
      </w:r>
      <w:r>
        <w:rPr>
          <w:rFonts w:hint="eastAsia" w:ascii="仿宋" w:hAnsi="仿宋" w:eastAsia="仿宋" w:cs="仿宋"/>
          <w:color w:val="auto"/>
          <w:kern w:val="0"/>
          <w:sz w:val="32"/>
          <w:szCs w:val="32"/>
          <w:u w:val="none" w:color="000000"/>
          <w:lang w:val="zh-TW"/>
        </w:rPr>
        <w:t>以培训需求为导向，以补短板为目标，</w:t>
      </w:r>
      <w:r>
        <w:rPr>
          <w:rFonts w:hint="eastAsia" w:ascii="仿宋" w:hAnsi="仿宋" w:eastAsia="仿宋" w:cs="仿宋"/>
          <w:color w:val="auto"/>
          <w:sz w:val="32"/>
          <w:szCs w:val="32"/>
        </w:rPr>
        <w:t>以提高基层医疗卫生服务能力和家庭医生团队实用技能为重点，</w:t>
      </w:r>
      <w:r>
        <w:rPr>
          <w:rFonts w:hint="eastAsia" w:eastAsia="仿宋_GB2312"/>
          <w:color w:val="auto"/>
          <w:sz w:val="32"/>
          <w:szCs w:val="32"/>
          <w:lang w:eastAsia="zh-CN"/>
        </w:rPr>
        <w:t>市卫生健康委下发了</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rPr>
        <w:t>关于印发20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年</w:t>
      </w:r>
      <w:r>
        <w:rPr>
          <w:rFonts w:hint="eastAsia" w:ascii="仿宋" w:hAnsi="仿宋" w:eastAsia="仿宋" w:cs="仿宋"/>
          <w:b w:val="0"/>
          <w:bCs w:val="0"/>
          <w:color w:val="auto"/>
          <w:sz w:val="32"/>
          <w:szCs w:val="32"/>
          <w:lang w:eastAsia="zh-CN"/>
        </w:rPr>
        <w:t>三门峡市</w:t>
      </w:r>
      <w:r>
        <w:rPr>
          <w:rFonts w:hint="eastAsia" w:ascii="仿宋" w:hAnsi="仿宋" w:eastAsia="仿宋" w:cs="仿宋"/>
          <w:b w:val="0"/>
          <w:bCs w:val="0"/>
          <w:color w:val="auto"/>
          <w:sz w:val="32"/>
          <w:szCs w:val="32"/>
        </w:rPr>
        <w:t>基层卫生人才能力提升培训项目实施方案的</w:t>
      </w:r>
    </w:p>
    <w:p>
      <w:pPr>
        <w:keepNext w:val="0"/>
        <w:keepLines w:val="0"/>
        <w:pageBreakBefore w:val="0"/>
        <w:widowControl/>
        <w:kinsoku/>
        <w:wordWrap/>
        <w:topLinePunct w:val="0"/>
        <w:bidi w:val="0"/>
        <w:spacing w:line="600" w:lineRule="exact"/>
        <w:ind w:right="4" w:rightChars="2"/>
        <w:jc w:val="left"/>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t>通知</w:t>
      </w:r>
      <w:r>
        <w:rPr>
          <w:rFonts w:hint="eastAsia" w:eastAsia="仿宋_GB2312"/>
          <w:color w:val="auto"/>
          <w:sz w:val="32"/>
          <w:szCs w:val="32"/>
          <w:lang w:eastAsia="zh-CN"/>
        </w:rPr>
        <w:t>》（</w:t>
      </w:r>
      <w:r>
        <w:rPr>
          <w:rFonts w:hint="eastAsia" w:eastAsia="仿宋_GB2312"/>
          <w:color w:val="auto"/>
          <w:kern w:val="10"/>
          <w:sz w:val="32"/>
        </w:rPr>
        <w:t>三卫</w:t>
      </w:r>
      <w:r>
        <w:rPr>
          <w:rFonts w:hint="eastAsia" w:eastAsia="仿宋_GB2312"/>
          <w:color w:val="auto"/>
          <w:kern w:val="10"/>
          <w:sz w:val="32"/>
          <w:lang w:eastAsia="zh-CN"/>
        </w:rPr>
        <w:t>基层</w:t>
      </w:r>
      <w:r>
        <w:rPr>
          <w:rFonts w:hint="eastAsia" w:eastAsia="仿宋_GB2312"/>
          <w:color w:val="auto"/>
          <w:kern w:val="10"/>
          <w:sz w:val="32"/>
          <w:lang w:val="en-US" w:eastAsia="zh-CN"/>
        </w:rPr>
        <w:t>便函</w:t>
      </w:r>
      <w:r>
        <w:rPr>
          <w:rFonts w:hint="eastAsia" w:ascii="仿宋_GB2312" w:eastAsia="仿宋_GB2312"/>
          <w:color w:val="auto"/>
          <w:kern w:val="10"/>
          <w:sz w:val="32"/>
        </w:rPr>
        <w:t>〔20</w:t>
      </w:r>
      <w:r>
        <w:rPr>
          <w:rFonts w:hint="eastAsia" w:ascii="仿宋_GB2312" w:eastAsia="仿宋_GB2312"/>
          <w:color w:val="auto"/>
          <w:kern w:val="10"/>
          <w:sz w:val="32"/>
          <w:lang w:val="en-US" w:eastAsia="zh-CN"/>
        </w:rPr>
        <w:t>21</w:t>
      </w:r>
      <w:r>
        <w:rPr>
          <w:rFonts w:hint="eastAsia" w:ascii="仿宋_GB2312" w:eastAsia="仿宋_GB2312"/>
          <w:color w:val="auto"/>
          <w:kern w:val="10"/>
          <w:sz w:val="32"/>
        </w:rPr>
        <w:t>〕</w:t>
      </w:r>
      <w:r>
        <w:rPr>
          <w:rFonts w:hint="eastAsia" w:ascii="仿宋_GB2312" w:eastAsia="仿宋_GB2312"/>
          <w:color w:val="auto"/>
          <w:kern w:val="10"/>
          <w:sz w:val="32"/>
          <w:lang w:val="en-US" w:eastAsia="zh-CN"/>
        </w:rPr>
        <w:t>21号</w:t>
      </w:r>
      <w:r>
        <w:rPr>
          <w:rFonts w:hint="eastAsia" w:eastAsia="仿宋_GB2312"/>
          <w:color w:val="auto"/>
          <w:sz w:val="32"/>
          <w:szCs w:val="32"/>
          <w:lang w:eastAsia="zh-CN"/>
        </w:rPr>
        <w:t>），明确了培训任务及目标，</w:t>
      </w:r>
      <w:r>
        <w:rPr>
          <w:rFonts w:hint="eastAsia" w:ascii="仿宋" w:hAnsi="仿宋" w:eastAsia="仿宋" w:cs="仿宋"/>
          <w:color w:val="auto"/>
          <w:sz w:val="32"/>
          <w:szCs w:val="32"/>
        </w:rPr>
        <w:t>重点提</w:t>
      </w:r>
      <w:r>
        <w:rPr>
          <w:rFonts w:hint="eastAsia" w:ascii="仿宋" w:hAnsi="仿宋" w:eastAsia="仿宋" w:cs="仿宋"/>
          <w:color w:val="auto"/>
          <w:sz w:val="32"/>
          <w:szCs w:val="32"/>
          <w:lang w:eastAsia="zh-CN"/>
        </w:rPr>
        <w:t>升</w:t>
      </w:r>
      <w:r>
        <w:rPr>
          <w:rFonts w:hint="eastAsia" w:ascii="仿宋" w:hAnsi="仿宋" w:eastAsia="仿宋" w:cs="仿宋"/>
          <w:color w:val="auto"/>
          <w:sz w:val="32"/>
          <w:szCs w:val="32"/>
        </w:rPr>
        <w:t>基层卫生人员对常见病、多发病的诊疗水平以及实操能力，增强家庭医生全科医学理念和团队服务意识，不断提高群众的获得感和对基层医疗卫生服务的利用率和满意度。</w:t>
      </w:r>
      <w:r>
        <w:rPr>
          <w:rFonts w:hint="eastAsia" w:ascii="仿宋" w:hAnsi="仿宋" w:eastAsia="仿宋" w:cs="仿宋"/>
          <w:color w:val="auto"/>
          <w:sz w:val="32"/>
          <w:szCs w:val="32"/>
          <w:lang w:eastAsia="zh-CN"/>
        </w:rPr>
        <w:t>同时，</w:t>
      </w:r>
      <w:r>
        <w:rPr>
          <w:rFonts w:hint="eastAsia" w:ascii="仿宋" w:hAnsi="仿宋" w:eastAsia="仿宋" w:cs="仿宋"/>
          <w:b w:val="0"/>
          <w:bCs w:val="0"/>
          <w:color w:val="auto"/>
          <w:sz w:val="32"/>
          <w:szCs w:val="32"/>
          <w:lang w:eastAsia="zh-CN"/>
        </w:rPr>
        <w:t>下发了</w:t>
      </w:r>
      <w:r>
        <w:rPr>
          <w:rFonts w:hint="eastAsia" w:ascii="仿宋" w:hAnsi="仿宋" w:eastAsia="仿宋" w:cs="仿宋"/>
          <w:b w:val="0"/>
          <w:bCs w:val="0"/>
          <w:color w:val="auto"/>
          <w:sz w:val="32"/>
          <w:szCs w:val="32"/>
          <w:lang w:val="en-US" w:eastAsia="zh-CN"/>
        </w:rPr>
        <w:t>《关于转发国家卫生健康委能力建设和继续教育中心印发2021年基层卫生人才能力提升培训项目线下培训大纲的通知》</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kern w:val="0"/>
          <w:sz w:val="32"/>
          <w:szCs w:val="32"/>
          <w:lang w:val="en-US" w:eastAsia="zh-CN"/>
        </w:rPr>
        <w:t>三卫</w:t>
      </w:r>
      <w:r>
        <w:rPr>
          <w:rFonts w:hint="eastAsia" w:ascii="仿宋_GB2312" w:hAnsi="仿宋_GB2312" w:eastAsia="仿宋_GB2312" w:cs="仿宋_GB2312"/>
          <w:b w:val="0"/>
          <w:bCs w:val="0"/>
          <w:color w:val="auto"/>
          <w:kern w:val="0"/>
          <w:sz w:val="32"/>
          <w:szCs w:val="32"/>
        </w:rPr>
        <w:t>基层便</w:t>
      </w:r>
      <w:r>
        <w:rPr>
          <w:rFonts w:hint="eastAsia" w:ascii="仿宋_GB2312" w:hAnsi="仿宋_GB2312" w:eastAsia="仿宋_GB2312" w:cs="仿宋_GB2312"/>
          <w:b w:val="0"/>
          <w:bCs w:val="0"/>
          <w:color w:val="auto"/>
          <w:sz w:val="32"/>
          <w:szCs w:val="32"/>
        </w:rPr>
        <w:t>〔20</w:t>
      </w: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22</w:t>
      </w:r>
      <w:r>
        <w:rPr>
          <w:rFonts w:hint="eastAsia" w:ascii="仿宋_GB2312" w:hAnsi="仿宋_GB2312" w:eastAsia="仿宋_GB2312" w:cs="仿宋_GB2312"/>
          <w:b w:val="0"/>
          <w:bCs w:val="0"/>
          <w:color w:val="auto"/>
          <w:kern w:val="0"/>
          <w:sz w:val="32"/>
          <w:szCs w:val="32"/>
        </w:rPr>
        <w:t>号</w:t>
      </w:r>
      <w:r>
        <w:rPr>
          <w:rFonts w:hint="eastAsia" w:ascii="仿宋_GB2312" w:hAnsi="仿宋_GB2312" w:eastAsia="仿宋_GB2312" w:cs="仿宋_GB2312"/>
          <w:b w:val="0"/>
          <w:bCs w:val="0"/>
          <w:color w:val="auto"/>
          <w:sz w:val="32"/>
          <w:szCs w:val="32"/>
          <w:lang w:val="en-US" w:eastAsia="zh-CN"/>
        </w:rPr>
        <w:t>)</w:t>
      </w:r>
      <w:r>
        <w:rPr>
          <w:rFonts w:hint="eastAsia" w:ascii="仿宋" w:hAnsi="仿宋" w:eastAsia="仿宋" w:cs="仿宋"/>
          <w:b w:val="0"/>
          <w:bCs w:val="0"/>
          <w:color w:val="auto"/>
          <w:sz w:val="32"/>
          <w:szCs w:val="32"/>
          <w:lang w:val="en-US" w:eastAsia="zh-CN"/>
        </w:rPr>
        <w:t>。</w:t>
      </w:r>
      <w:r>
        <w:rPr>
          <w:rFonts w:hint="eastAsia" w:ascii="仿宋" w:hAnsi="仿宋" w:eastAsia="仿宋" w:cs="仿宋"/>
          <w:color w:val="auto"/>
          <w:sz w:val="32"/>
          <w:szCs w:val="32"/>
          <w:lang w:eastAsia="zh-CN"/>
        </w:rPr>
        <w:t>按照计划安排，分别下发</w:t>
      </w:r>
      <w:r>
        <w:rPr>
          <w:rFonts w:hint="eastAsia" w:ascii="仿宋" w:hAnsi="仿宋" w:eastAsia="仿宋" w:cs="仿宋"/>
          <w:b w:val="0"/>
          <w:bCs w:val="0"/>
          <w:color w:val="auto"/>
          <w:sz w:val="32"/>
          <w:szCs w:val="32"/>
          <w:lang w:eastAsia="zh-CN"/>
        </w:rPr>
        <w:t>了《</w:t>
      </w:r>
      <w:r>
        <w:rPr>
          <w:rFonts w:hint="eastAsia" w:ascii="仿宋" w:hAnsi="仿宋" w:eastAsia="仿宋" w:cs="仿宋"/>
          <w:b w:val="0"/>
          <w:bCs w:val="0"/>
          <w:color w:val="auto"/>
          <w:kern w:val="0"/>
          <w:sz w:val="32"/>
          <w:szCs w:val="32"/>
        </w:rPr>
        <w:t>关于</w:t>
      </w:r>
      <w:r>
        <w:rPr>
          <w:rFonts w:hint="eastAsia" w:ascii="仿宋" w:hAnsi="仿宋" w:eastAsia="仿宋" w:cs="仿宋"/>
          <w:b w:val="0"/>
          <w:bCs w:val="0"/>
          <w:color w:val="auto"/>
          <w:kern w:val="0"/>
          <w:sz w:val="32"/>
          <w:szCs w:val="32"/>
          <w:lang w:eastAsia="zh-CN"/>
        </w:rPr>
        <w:t>举办</w:t>
      </w:r>
      <w:r>
        <w:rPr>
          <w:rFonts w:hint="eastAsia" w:ascii="仿宋" w:hAnsi="仿宋" w:eastAsia="仿宋" w:cs="仿宋"/>
          <w:b w:val="0"/>
          <w:bCs w:val="0"/>
          <w:color w:val="auto"/>
          <w:kern w:val="0"/>
          <w:sz w:val="32"/>
          <w:szCs w:val="32"/>
          <w:lang w:val="en-US" w:eastAsia="zh-CN"/>
        </w:rPr>
        <w:t>2021年度</w:t>
      </w:r>
      <w:r>
        <w:rPr>
          <w:rFonts w:hint="eastAsia" w:ascii="仿宋" w:hAnsi="仿宋" w:eastAsia="仿宋" w:cs="仿宋"/>
          <w:b w:val="0"/>
          <w:bCs w:val="0"/>
          <w:color w:val="auto"/>
          <w:kern w:val="0"/>
          <w:sz w:val="32"/>
          <w:szCs w:val="32"/>
          <w:lang w:eastAsia="zh-CN"/>
        </w:rPr>
        <w:t>全市基层医疗卫生机构</w:t>
      </w:r>
      <w:r>
        <w:rPr>
          <w:rFonts w:hint="eastAsia" w:ascii="仿宋" w:hAnsi="仿宋" w:eastAsia="仿宋" w:cs="仿宋"/>
          <w:b w:val="0"/>
          <w:bCs w:val="0"/>
          <w:color w:val="auto"/>
          <w:kern w:val="0"/>
          <w:sz w:val="32"/>
          <w:szCs w:val="32"/>
          <w:u w:val="none" w:color="000000"/>
          <w:lang w:val="en-US" w:eastAsia="zh-CN"/>
        </w:rPr>
        <w:t>临床医师、骨干全科医生</w:t>
      </w:r>
      <w:r>
        <w:rPr>
          <w:rFonts w:hint="eastAsia" w:ascii="仿宋" w:hAnsi="仿宋" w:eastAsia="仿宋" w:cs="仿宋"/>
          <w:b w:val="0"/>
          <w:bCs w:val="0"/>
          <w:color w:val="auto"/>
          <w:kern w:val="0"/>
          <w:sz w:val="32"/>
          <w:szCs w:val="32"/>
        </w:rPr>
        <w:t>培训</w:t>
      </w:r>
      <w:r>
        <w:rPr>
          <w:rFonts w:hint="eastAsia" w:ascii="仿宋" w:hAnsi="仿宋" w:eastAsia="仿宋" w:cs="仿宋"/>
          <w:b w:val="0"/>
          <w:bCs w:val="0"/>
          <w:color w:val="auto"/>
          <w:kern w:val="0"/>
          <w:sz w:val="32"/>
          <w:szCs w:val="32"/>
          <w:lang w:eastAsia="zh-CN"/>
        </w:rPr>
        <w:t>班</w:t>
      </w:r>
      <w:r>
        <w:rPr>
          <w:rFonts w:hint="eastAsia" w:ascii="仿宋" w:hAnsi="仿宋" w:eastAsia="仿宋" w:cs="仿宋"/>
          <w:b w:val="0"/>
          <w:bCs w:val="0"/>
          <w:color w:val="auto"/>
          <w:kern w:val="0"/>
          <w:sz w:val="32"/>
          <w:szCs w:val="32"/>
        </w:rPr>
        <w:t>的通知</w:t>
      </w: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卫基层便函〔20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23</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）、《关于明确</w:t>
      </w:r>
      <w:r>
        <w:rPr>
          <w:rFonts w:hint="eastAsia" w:ascii="仿宋" w:hAnsi="仿宋" w:eastAsia="仿宋" w:cs="仿宋"/>
          <w:b w:val="0"/>
          <w:bCs w:val="0"/>
          <w:color w:val="auto"/>
          <w:sz w:val="32"/>
          <w:szCs w:val="32"/>
          <w:lang w:val="en-US" w:eastAsia="zh-CN"/>
        </w:rPr>
        <w:t>2021年度乡村医生在县级培训基地</w:t>
      </w:r>
    </w:p>
    <w:p>
      <w:pPr>
        <w:jc w:val="both"/>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进修学习的通知</w:t>
      </w: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卫基层便函〔20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24</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培训班如期进行。为严格培训管理，市卫生健康委于11月17日下发了</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关于2021年度“省培项目”“国培项目”线下培训管理情况的通报</w:t>
      </w: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卫基层便函〔20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35</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    1、产出指标完成情况分析。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   （1）数量指标。</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21</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全市已经完成乡镇卫生院和社区卫生服务中心</w:t>
      </w:r>
      <w:r>
        <w:rPr>
          <w:rFonts w:hint="eastAsia" w:ascii="仿宋" w:hAnsi="仿宋" w:eastAsia="仿宋" w:cs="仿宋"/>
          <w:color w:val="auto"/>
          <w:sz w:val="32"/>
          <w:szCs w:val="32"/>
        </w:rPr>
        <w:t>临床医师</w:t>
      </w: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rPr>
        <w:t>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）、乡村医生</w:t>
      </w:r>
      <w:r>
        <w:rPr>
          <w:rFonts w:hint="eastAsia" w:ascii="仿宋" w:hAnsi="仿宋" w:eastAsia="仿宋" w:cs="仿宋"/>
          <w:color w:val="auto"/>
          <w:sz w:val="32"/>
          <w:szCs w:val="32"/>
          <w:lang w:val="en-US" w:eastAsia="zh-CN"/>
        </w:rPr>
        <w:t>135人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培训任务。</w:t>
      </w:r>
      <w:r>
        <w:rPr>
          <w:rFonts w:hint="eastAsia" w:ascii="仿宋" w:hAnsi="仿宋" w:eastAsia="仿宋" w:cs="仿宋"/>
          <w:color w:val="auto"/>
          <w:sz w:val="32"/>
          <w:szCs w:val="32"/>
          <w:lang w:eastAsia="zh-CN"/>
        </w:rPr>
        <w:t>乡镇卫生院和社区卫生服务中心</w:t>
      </w:r>
      <w:r>
        <w:rPr>
          <w:rFonts w:hint="eastAsia" w:ascii="仿宋" w:hAnsi="仿宋" w:eastAsia="仿宋" w:cs="仿宋"/>
          <w:color w:val="auto"/>
          <w:sz w:val="32"/>
          <w:szCs w:val="32"/>
        </w:rPr>
        <w:t>骨干全科医生</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名</w:t>
      </w:r>
      <w:r>
        <w:rPr>
          <w:rFonts w:hint="eastAsia" w:ascii="仿宋" w:hAnsi="仿宋" w:eastAsia="仿宋" w:cs="仿宋"/>
          <w:color w:val="auto"/>
          <w:sz w:val="32"/>
          <w:szCs w:val="32"/>
          <w:lang w:eastAsia="zh-CN"/>
        </w:rPr>
        <w:t>的培训正在进行中。</w:t>
      </w:r>
    </w:p>
    <w:p>
      <w:pPr>
        <w:keepNext w:val="0"/>
        <w:keepLines w:val="0"/>
        <w:pageBreakBefore w:val="0"/>
        <w:numPr>
          <w:ilvl w:val="0"/>
          <w:numId w:val="0"/>
        </w:numPr>
        <w:kinsoku/>
        <w:bidi w:val="0"/>
        <w:spacing w:line="600" w:lineRule="exact"/>
        <w:ind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bCs/>
          <w:color w:val="auto"/>
          <w:sz w:val="32"/>
          <w:szCs w:val="32"/>
          <w:lang w:val="en-US" w:eastAsia="zh-CN"/>
        </w:rPr>
        <w:t xml:space="preserve">   （2）质量指标。</w:t>
      </w:r>
      <w:r>
        <w:rPr>
          <w:rFonts w:hint="eastAsia" w:ascii="仿宋" w:hAnsi="仿宋" w:eastAsia="仿宋" w:cs="仿宋"/>
          <w:b w:val="0"/>
          <w:bCs w:val="0"/>
          <w:color w:val="auto"/>
          <w:sz w:val="32"/>
          <w:szCs w:val="32"/>
          <w:lang w:val="en-US" w:eastAsia="zh-CN"/>
        </w:rPr>
        <w:t xml:space="preserve">已经完成和组织实施的培训项目结业测评和卫生技术人员专业水平完成值100%-80%（含全部或基本达成预期指标）。    </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 xml:space="preserve">   （3）时效指标。</w:t>
      </w:r>
      <w:r>
        <w:rPr>
          <w:rFonts w:hint="eastAsia" w:ascii="仿宋_GB2312" w:hAnsi="仿宋_GB2312" w:eastAsia="仿宋_GB2312" w:cs="仿宋_GB2312"/>
          <w:b w:val="0"/>
          <w:bCs w:val="0"/>
          <w:color w:val="auto"/>
          <w:kern w:val="0"/>
          <w:sz w:val="32"/>
          <w:szCs w:val="32"/>
          <w:u w:val="none" w:color="000000"/>
          <w:lang w:val="zh-TW"/>
        </w:rPr>
        <w:t>乡镇卫生院和社区卫生服务中心</w:t>
      </w:r>
      <w:r>
        <w:rPr>
          <w:rFonts w:hint="eastAsia" w:ascii="仿宋_GB2312" w:hAnsi="仿宋_GB2312" w:eastAsia="仿宋_GB2312" w:cs="仿宋_GB2312"/>
          <w:b w:val="0"/>
          <w:bCs w:val="0"/>
          <w:color w:val="auto"/>
          <w:kern w:val="0"/>
          <w:sz w:val="32"/>
          <w:szCs w:val="32"/>
          <w:u w:val="none" w:color="000000"/>
          <w:lang w:val="en-US" w:eastAsia="zh-CN"/>
        </w:rPr>
        <w:t>临床医师（含中医师）</w:t>
      </w:r>
      <w:r>
        <w:rPr>
          <w:rFonts w:hint="eastAsia" w:ascii="仿宋_GB2312" w:hAnsi="仿宋_GB2312" w:eastAsia="仿宋_GB2312" w:cs="仿宋_GB2312"/>
          <w:b w:val="0"/>
          <w:bCs w:val="0"/>
          <w:color w:val="auto"/>
          <w:kern w:val="0"/>
          <w:sz w:val="32"/>
          <w:szCs w:val="32"/>
        </w:rPr>
        <w:t>培训</w:t>
      </w:r>
      <w:r>
        <w:rPr>
          <w:rFonts w:hint="eastAsia" w:ascii="仿宋_GB2312" w:hAnsi="仿宋_GB2312" w:eastAsia="仿宋_GB2312" w:cs="仿宋_GB2312"/>
          <w:b w:val="0"/>
          <w:bCs w:val="0"/>
          <w:color w:val="auto"/>
          <w:kern w:val="0"/>
          <w:sz w:val="32"/>
          <w:szCs w:val="32"/>
          <w:lang w:eastAsia="zh-CN"/>
        </w:rPr>
        <w:t>班</w:t>
      </w:r>
      <w:r>
        <w:rPr>
          <w:rFonts w:hint="eastAsia" w:ascii="仿宋_GB2312" w:hAnsi="仿宋_GB2312" w:eastAsia="仿宋_GB2312" w:cs="仿宋_GB2312"/>
          <w:b w:val="0"/>
          <w:bCs w:val="0"/>
          <w:color w:val="auto"/>
          <w:kern w:val="0"/>
          <w:sz w:val="32"/>
          <w:szCs w:val="32"/>
          <w:lang w:val="en-US" w:eastAsia="zh-CN"/>
        </w:rPr>
        <w:t>13人</w:t>
      </w:r>
      <w:r>
        <w:rPr>
          <w:rFonts w:hint="eastAsia" w:ascii="仿宋_GB2312" w:hAnsi="仿宋_GB2312" w:eastAsia="仿宋_GB2312" w:cs="仿宋_GB2312"/>
          <w:b w:val="0"/>
          <w:bCs w:val="0"/>
          <w:color w:val="auto"/>
          <w:sz w:val="32"/>
          <w:szCs w:val="32"/>
          <w:lang w:val="en-US" w:eastAsia="zh-CN"/>
        </w:rPr>
        <w:t>，时间120天，2021年7月15日--2021年11月13日</w:t>
      </w:r>
      <w:r>
        <w:rPr>
          <w:rFonts w:hint="eastAsia" w:ascii="仿宋" w:hAnsi="仿宋" w:eastAsia="仿宋" w:cs="仿宋"/>
          <w:color w:val="auto"/>
          <w:sz w:val="32"/>
          <w:szCs w:val="32"/>
          <w:lang w:eastAsia="zh-CN"/>
        </w:rPr>
        <w:t>已经完成；</w:t>
      </w:r>
      <w:r>
        <w:rPr>
          <w:rFonts w:hint="eastAsia" w:ascii="仿宋_GB2312" w:hAnsi="仿宋_GB2312" w:eastAsia="仿宋_GB2312" w:cs="仿宋_GB2312"/>
          <w:color w:val="auto"/>
          <w:sz w:val="32"/>
          <w:szCs w:val="32"/>
          <w:lang w:val="en-US" w:eastAsia="zh-CN"/>
        </w:rPr>
        <w:t>135名乡村医生（湖滨区5人、陕州区22人、灵宝市40人、卢氏县30人、渑池县20人、义马市6人、示范区11人、开发区1人）分别在各县（市、区）县级培训基地进修学习，</w:t>
      </w:r>
      <w:r>
        <w:rPr>
          <w:rFonts w:hint="eastAsia" w:ascii="仿宋_GB2312" w:hAnsi="仿宋_GB2312" w:eastAsia="仿宋_GB2312" w:cs="仿宋_GB2312"/>
          <w:bCs/>
          <w:color w:val="auto"/>
          <w:sz w:val="32"/>
          <w:szCs w:val="32"/>
          <w:lang w:val="en-US" w:eastAsia="zh-CN"/>
        </w:rPr>
        <w:t>于2021年12月31日前完成；</w:t>
      </w:r>
      <w:r>
        <w:rPr>
          <w:rFonts w:hint="eastAsia" w:ascii="仿宋_GB2312" w:hAnsi="仿宋_GB2312" w:eastAsia="仿宋_GB2312" w:cs="仿宋_GB2312"/>
          <w:b w:val="0"/>
          <w:bCs w:val="0"/>
          <w:color w:val="auto"/>
          <w:kern w:val="0"/>
          <w:sz w:val="32"/>
          <w:szCs w:val="32"/>
          <w:u w:val="none" w:color="000000"/>
          <w:lang w:val="zh-TW"/>
        </w:rPr>
        <w:t>乡镇卫生院和社区卫生服务中心</w:t>
      </w:r>
      <w:r>
        <w:rPr>
          <w:rFonts w:hint="eastAsia" w:ascii="仿宋_GB2312" w:hAnsi="仿宋_GB2312" w:eastAsia="仿宋_GB2312" w:cs="仿宋_GB2312"/>
          <w:b w:val="0"/>
          <w:bCs w:val="0"/>
          <w:color w:val="auto"/>
          <w:sz w:val="32"/>
          <w:szCs w:val="32"/>
          <w:lang w:val="en-US" w:eastAsia="zh-CN"/>
        </w:rPr>
        <w:t>骨干全科医生培训班6人，时间1年，2021年7月15日开始，已经培训276天，计划于2022年7月15日完成</w:t>
      </w:r>
      <w:r>
        <w:rPr>
          <w:rFonts w:hint="eastAsia" w:ascii="仿宋" w:hAnsi="仿宋" w:eastAsia="仿宋" w:cs="仿宋"/>
          <w:color w:val="auto"/>
          <w:sz w:val="32"/>
          <w:szCs w:val="32"/>
        </w:rPr>
        <w:t>培训</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 xml:space="preserve">  </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 xml:space="preserve"> （4）成本指标。</w:t>
      </w:r>
      <w:r>
        <w:rPr>
          <w:rFonts w:hint="eastAsia" w:ascii="仿宋" w:hAnsi="仿宋" w:eastAsia="仿宋" w:cs="仿宋"/>
          <w:b w:val="0"/>
          <w:bCs w:val="0"/>
          <w:color w:val="auto"/>
          <w:sz w:val="32"/>
          <w:szCs w:val="32"/>
          <w:lang w:val="en-US" w:eastAsia="zh-CN"/>
        </w:rPr>
        <w:t>培训临床医师补助标准120元/人.天、骨干全科医生补助标准1.5万元/年.人、 乡村医生补助标准120元/人.天。</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    2、效益指标完成情况分析。</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（1）经济效益。</w:t>
      </w:r>
      <w:r>
        <w:rPr>
          <w:rFonts w:hint="eastAsia" w:ascii="仿宋" w:hAnsi="仿宋" w:eastAsia="仿宋" w:cs="仿宋"/>
          <w:b w:val="0"/>
          <w:bCs w:val="0"/>
          <w:color w:val="auto"/>
          <w:sz w:val="32"/>
          <w:szCs w:val="32"/>
          <w:lang w:val="en-US" w:eastAsia="zh-CN"/>
        </w:rPr>
        <w:t>通过组织实施基层</w:t>
      </w:r>
      <w:r>
        <w:rPr>
          <w:rFonts w:hint="eastAsia" w:ascii="仿宋" w:hAnsi="仿宋" w:eastAsia="仿宋" w:cs="仿宋"/>
          <w:b w:val="0"/>
          <w:bCs w:val="0"/>
          <w:color w:val="auto"/>
          <w:sz w:val="32"/>
          <w:szCs w:val="32"/>
        </w:rPr>
        <w:t>卫生人才能力提升培训项目</w:t>
      </w:r>
      <w:r>
        <w:rPr>
          <w:rFonts w:hint="eastAsia" w:ascii="仿宋" w:hAnsi="仿宋" w:eastAsia="仿宋" w:cs="仿宋"/>
          <w:b w:val="0"/>
          <w:bCs w:val="0"/>
          <w:color w:val="auto"/>
          <w:sz w:val="32"/>
          <w:szCs w:val="32"/>
          <w:lang w:eastAsia="zh-CN"/>
        </w:rPr>
        <w:t>，基层卫生机构服务能力逐步提高，基层医疗卫生机构就医率、门急诊人次逐步增加，达成预期指标（100%-80%）</w:t>
      </w:r>
    </w:p>
    <w:p>
      <w:pPr>
        <w:keepNext w:val="0"/>
        <w:keepLines w:val="0"/>
        <w:pageBreakBefore w:val="0"/>
        <w:kinsoku/>
        <w:overflowPunct w:val="0"/>
        <w:autoSpaceDE w:val="0"/>
        <w:autoSpaceDN w:val="0"/>
        <w:bidi w:val="0"/>
        <w:adjustRightInd w:val="0"/>
        <w:snapToGrid w:val="0"/>
        <w:spacing w:line="600" w:lineRule="exact"/>
        <w:ind w:left="0" w:leftChars="0" w:right="0" w:rightChars="0"/>
        <w:jc w:val="both"/>
        <w:textAlignment w:val="auto"/>
        <w:outlineLvl w:val="9"/>
        <w:rPr>
          <w:rFonts w:eastAsia="仿宋_GB2312"/>
          <w:color w:val="auto"/>
          <w:sz w:val="32"/>
          <w:szCs w:val="32"/>
        </w:rPr>
      </w:pPr>
      <w:r>
        <w:rPr>
          <w:rFonts w:hint="eastAsia" w:ascii="仿宋" w:hAnsi="仿宋" w:eastAsia="仿宋" w:cs="仿宋"/>
          <w:b/>
          <w:bCs/>
          <w:color w:val="auto"/>
          <w:sz w:val="32"/>
          <w:szCs w:val="32"/>
          <w:lang w:val="en-US" w:eastAsia="zh-CN"/>
        </w:rPr>
        <w:t xml:space="preserve">  （2）社会效益和群众满意度分析。</w:t>
      </w:r>
      <w:r>
        <w:rPr>
          <w:rFonts w:eastAsia="仿宋_GB2312"/>
          <w:color w:val="auto"/>
          <w:sz w:val="32"/>
          <w:szCs w:val="32"/>
        </w:rPr>
        <w:t>群众的获得感和</w:t>
      </w:r>
      <w:r>
        <w:rPr>
          <w:rFonts w:hint="eastAsia" w:eastAsia="仿宋_GB2312"/>
          <w:color w:val="auto"/>
          <w:sz w:val="32"/>
          <w:szCs w:val="32"/>
        </w:rPr>
        <w:t>对</w:t>
      </w:r>
      <w:r>
        <w:rPr>
          <w:rFonts w:eastAsia="仿宋_GB2312"/>
          <w:color w:val="auto"/>
          <w:sz w:val="32"/>
          <w:szCs w:val="32"/>
        </w:rPr>
        <w:t>基层医疗卫生服务的利用率和满意度</w:t>
      </w:r>
      <w:r>
        <w:rPr>
          <w:rFonts w:hint="eastAsia" w:eastAsia="仿宋_GB2312"/>
          <w:color w:val="auto"/>
          <w:sz w:val="32"/>
          <w:szCs w:val="32"/>
        </w:rPr>
        <w:t>不断</w:t>
      </w:r>
      <w:r>
        <w:rPr>
          <w:rFonts w:eastAsia="仿宋_GB2312"/>
          <w:color w:val="auto"/>
          <w:sz w:val="32"/>
          <w:szCs w:val="32"/>
        </w:rPr>
        <w:t>提高。</w:t>
      </w:r>
    </w:p>
    <w:p>
      <w:pPr>
        <w:keepNext w:val="0"/>
        <w:keepLines w:val="0"/>
        <w:pageBreakBefore w:val="0"/>
        <w:numPr>
          <w:ilvl w:val="0"/>
          <w:numId w:val="0"/>
        </w:numPr>
        <w:kinsoku/>
        <w:bidi w:val="0"/>
        <w:spacing w:line="600" w:lineRule="exact"/>
        <w:ind w:left="0" w:leftChars="0" w:right="0" w:rightChars="0" w:firstLine="642"/>
        <w:textAlignment w:val="auto"/>
        <w:outlineLvl w:val="9"/>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三、存在问题</w:t>
      </w:r>
    </w:p>
    <w:p>
      <w:pPr>
        <w:keepNext w:val="0"/>
        <w:keepLines w:val="0"/>
        <w:pageBreakBefore w:val="0"/>
        <w:numPr>
          <w:ilvl w:val="0"/>
          <w:numId w:val="0"/>
        </w:numPr>
        <w:kinsoku/>
        <w:bidi w:val="0"/>
        <w:spacing w:line="600" w:lineRule="exact"/>
        <w:ind w:left="0" w:leftChars="0" w:right="0" w:rightChars="0" w:firstLine="642"/>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由于乡镇卫生院人员数量、工作、健康扶贫、新冠肺炎疫情防控等原因，</w:t>
      </w:r>
      <w:r>
        <w:rPr>
          <w:rFonts w:hint="eastAsia" w:ascii="仿宋" w:hAnsi="仿宋" w:eastAsia="仿宋" w:cs="仿宋"/>
          <w:color w:val="auto"/>
          <w:sz w:val="32"/>
          <w:szCs w:val="32"/>
          <w:lang w:val="en-US" w:eastAsia="zh-CN"/>
        </w:rPr>
        <w:t xml:space="preserve">个别培训学员培训期间请假回单位处理公务 </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 xml:space="preserve"> </w:t>
      </w:r>
    </w:p>
    <w:p>
      <w:pPr>
        <w:keepNext w:val="0"/>
        <w:keepLines w:val="0"/>
        <w:pageBreakBefore w:val="0"/>
        <w:numPr>
          <w:ilvl w:val="0"/>
          <w:numId w:val="0"/>
        </w:numPr>
        <w:kinsoku/>
        <w:bidi w:val="0"/>
        <w:spacing w:line="600" w:lineRule="exact"/>
        <w:ind w:left="0" w:leftChars="0" w:right="0" w:rightChars="0"/>
        <w:textAlignment w:val="auto"/>
        <w:outlineLvl w:val="9"/>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四、下一步改进措施</w:t>
      </w:r>
    </w:p>
    <w:p>
      <w:pPr>
        <w:pStyle w:val="6"/>
        <w:keepNext w:val="0"/>
        <w:keepLines w:val="0"/>
        <w:pageBreakBefore w:val="0"/>
        <w:kinsoku/>
        <w:overflowPunct w:val="0"/>
        <w:autoSpaceDE w:val="0"/>
        <w:autoSpaceDN w:val="0"/>
        <w:bidi w:val="0"/>
        <w:adjustRightInd w:val="0"/>
        <w:snapToGrid w:val="0"/>
        <w:spacing w:line="600" w:lineRule="exact"/>
        <w:ind w:left="0" w:leftChars="0" w:right="0" w:rightChars="0" w:firstLine="601" w:firstLineChars="187"/>
        <w:textAlignment w:val="auto"/>
        <w:outlineLvl w:val="9"/>
        <w:rPr>
          <w:b w:val="0"/>
          <w:bCs w:val="0"/>
          <w:color w:val="auto"/>
          <w:sz w:val="32"/>
          <w:szCs w:val="32"/>
          <w:u w:val="none" w:color="000000"/>
          <w:lang w:val="en-US" w:eastAsia="zh-CN"/>
        </w:rPr>
      </w:pPr>
      <w:r>
        <w:rPr>
          <w:rFonts w:hint="eastAsia" w:ascii="楷体" w:hAnsi="楷体" w:eastAsia="楷体"/>
          <w:b/>
          <w:bCs/>
          <w:color w:val="auto"/>
          <w:sz w:val="32"/>
          <w:szCs w:val="32"/>
          <w:u w:val="none" w:color="000000"/>
          <w:lang w:val="zh-TW" w:eastAsia="zh-CN"/>
        </w:rPr>
        <w:t>（一）进一步</w:t>
      </w:r>
      <w:r>
        <w:rPr>
          <w:rFonts w:ascii="楷体" w:hAnsi="楷体" w:eastAsia="楷体"/>
          <w:b/>
          <w:bCs/>
          <w:color w:val="auto"/>
          <w:sz w:val="32"/>
          <w:szCs w:val="32"/>
          <w:u w:val="none" w:color="000000"/>
          <w:lang w:val="zh-TW" w:eastAsia="zh-CN"/>
        </w:rPr>
        <w:t>加强基地建设</w:t>
      </w:r>
      <w:r>
        <w:rPr>
          <w:b/>
          <w:bCs/>
          <w:color w:val="auto"/>
          <w:sz w:val="32"/>
          <w:szCs w:val="32"/>
          <w:u w:val="none" w:color="000000"/>
          <w:lang w:val="en-US" w:eastAsia="zh-CN"/>
        </w:rPr>
        <w:t>。</w:t>
      </w:r>
      <w:r>
        <w:rPr>
          <w:rFonts w:hint="eastAsia"/>
          <w:b w:val="0"/>
          <w:bCs w:val="0"/>
          <w:color w:val="auto"/>
          <w:sz w:val="32"/>
          <w:szCs w:val="32"/>
          <w:u w:val="none" w:color="000000"/>
          <w:lang w:val="en-US" w:eastAsia="zh-CN"/>
        </w:rPr>
        <w:t>承担培训任务的医疗机构要认真遴选师资，组织</w:t>
      </w:r>
      <w:r>
        <w:rPr>
          <w:b w:val="0"/>
          <w:bCs w:val="0"/>
          <w:color w:val="auto"/>
          <w:sz w:val="32"/>
          <w:szCs w:val="32"/>
          <w:u w:val="none" w:color="000000"/>
          <w:lang w:val="en-US" w:eastAsia="zh-CN"/>
        </w:rPr>
        <w:t>开发课程和编写教案</w:t>
      </w:r>
      <w:r>
        <w:rPr>
          <w:rFonts w:hint="eastAsia"/>
          <w:b w:val="0"/>
          <w:bCs w:val="0"/>
          <w:color w:val="auto"/>
          <w:sz w:val="32"/>
          <w:szCs w:val="32"/>
          <w:u w:val="none" w:color="000000"/>
          <w:lang w:val="en-US" w:eastAsia="zh-CN"/>
        </w:rPr>
        <w:t>，坚持以需求为导向，</w:t>
      </w:r>
      <w:r>
        <w:rPr>
          <w:b w:val="0"/>
          <w:bCs w:val="0"/>
          <w:color w:val="auto"/>
          <w:sz w:val="32"/>
          <w:szCs w:val="32"/>
          <w:u w:val="none" w:color="000000"/>
          <w:lang w:val="en-US" w:eastAsia="zh-CN"/>
        </w:rPr>
        <w:t>做到课程开发有针对性</w:t>
      </w:r>
      <w:r>
        <w:rPr>
          <w:rFonts w:hint="eastAsia"/>
          <w:b w:val="0"/>
          <w:bCs w:val="0"/>
          <w:color w:val="auto"/>
          <w:sz w:val="32"/>
          <w:szCs w:val="32"/>
          <w:u w:val="none" w:color="000000"/>
          <w:lang w:val="en-US" w:eastAsia="zh-CN"/>
        </w:rPr>
        <w:t>，</w:t>
      </w:r>
      <w:r>
        <w:rPr>
          <w:b w:val="0"/>
          <w:bCs w:val="0"/>
          <w:color w:val="auto"/>
          <w:sz w:val="32"/>
          <w:szCs w:val="32"/>
          <w:u w:val="none" w:color="000000"/>
          <w:lang w:val="en-US" w:eastAsia="zh-CN"/>
        </w:rPr>
        <w:t>师资教学受欢迎</w:t>
      </w:r>
      <w:r>
        <w:rPr>
          <w:rFonts w:hint="eastAsia"/>
          <w:b w:val="0"/>
          <w:bCs w:val="0"/>
          <w:color w:val="auto"/>
          <w:sz w:val="32"/>
          <w:szCs w:val="32"/>
          <w:u w:val="none" w:color="000000"/>
          <w:lang w:val="en-US" w:eastAsia="zh-CN"/>
        </w:rPr>
        <w:t>，</w:t>
      </w:r>
      <w:r>
        <w:rPr>
          <w:b w:val="0"/>
          <w:bCs w:val="0"/>
          <w:color w:val="auto"/>
          <w:sz w:val="32"/>
          <w:szCs w:val="32"/>
          <w:u w:val="none" w:color="000000"/>
          <w:lang w:val="en-US" w:eastAsia="zh-CN"/>
        </w:rPr>
        <w:t>教学组织有章可循。</w:t>
      </w:r>
      <w:r>
        <w:rPr>
          <w:rFonts w:hint="eastAsia"/>
          <w:b w:val="0"/>
          <w:bCs w:val="0"/>
          <w:color w:val="auto"/>
          <w:sz w:val="32"/>
          <w:szCs w:val="32"/>
          <w:u w:val="none" w:color="000000"/>
          <w:lang w:val="en-US" w:eastAsia="zh-CN"/>
        </w:rPr>
        <w:t>确保培训需求</w:t>
      </w:r>
      <w:r>
        <w:rPr>
          <w:b w:val="0"/>
          <w:bCs w:val="0"/>
          <w:color w:val="auto"/>
          <w:sz w:val="32"/>
          <w:szCs w:val="32"/>
          <w:u w:val="none" w:color="000000"/>
          <w:lang w:val="en-US" w:eastAsia="zh-CN"/>
        </w:rPr>
        <w:t>与培训基地培训能力和培训容量相匹配</w:t>
      </w:r>
      <w:r>
        <w:rPr>
          <w:rFonts w:hint="eastAsia"/>
          <w:b w:val="0"/>
          <w:bCs w:val="0"/>
          <w:color w:val="auto"/>
          <w:sz w:val="32"/>
          <w:szCs w:val="32"/>
          <w:u w:val="none" w:color="000000"/>
          <w:lang w:val="en-US" w:eastAsia="zh-CN"/>
        </w:rPr>
        <w:t>，</w:t>
      </w:r>
      <w:r>
        <w:rPr>
          <w:b w:val="0"/>
          <w:bCs w:val="0"/>
          <w:color w:val="auto"/>
          <w:sz w:val="32"/>
          <w:szCs w:val="32"/>
          <w:u w:val="none" w:color="000000"/>
          <w:lang w:val="en-US" w:eastAsia="zh-CN"/>
        </w:rPr>
        <w:t>既符合学员培训意愿</w:t>
      </w:r>
      <w:r>
        <w:rPr>
          <w:rFonts w:hint="eastAsia"/>
          <w:b w:val="0"/>
          <w:bCs w:val="0"/>
          <w:color w:val="auto"/>
          <w:sz w:val="32"/>
          <w:szCs w:val="32"/>
          <w:u w:val="none" w:color="000000"/>
          <w:lang w:val="en-US" w:eastAsia="zh-CN"/>
        </w:rPr>
        <w:t>，</w:t>
      </w:r>
      <w:r>
        <w:rPr>
          <w:b w:val="0"/>
          <w:bCs w:val="0"/>
          <w:color w:val="auto"/>
          <w:sz w:val="32"/>
          <w:szCs w:val="32"/>
          <w:u w:val="none" w:color="000000"/>
          <w:lang w:val="en-US" w:eastAsia="zh-CN"/>
        </w:rPr>
        <w:t>又发挥培训基地培训专长</w:t>
      </w:r>
      <w:r>
        <w:rPr>
          <w:rFonts w:hint="eastAsia"/>
          <w:b w:val="0"/>
          <w:bCs w:val="0"/>
          <w:color w:val="auto"/>
          <w:sz w:val="32"/>
          <w:szCs w:val="32"/>
          <w:u w:val="none" w:color="000000"/>
          <w:lang w:val="en-US" w:eastAsia="zh-CN"/>
        </w:rPr>
        <w:t>。</w:t>
      </w:r>
    </w:p>
    <w:p>
      <w:pPr>
        <w:pStyle w:val="7"/>
        <w:keepNext w:val="0"/>
        <w:keepLines w:val="0"/>
        <w:pageBreakBefore w:val="0"/>
        <w:kinsoku/>
        <w:overflowPunct w:val="0"/>
        <w:autoSpaceDE w:val="0"/>
        <w:autoSpaceDN w:val="0"/>
        <w:bidi w:val="0"/>
        <w:adjustRightInd w:val="0"/>
        <w:snapToGrid w:val="0"/>
        <w:spacing w:line="600" w:lineRule="exact"/>
        <w:ind w:left="0" w:leftChars="0" w:right="0" w:rightChars="0" w:firstLine="640"/>
        <w:textAlignment w:val="auto"/>
        <w:outlineLvl w:val="9"/>
        <w:rPr>
          <w:rFonts w:hint="eastAsia" w:ascii="仿宋" w:hAnsi="仿宋" w:eastAsia="仿宋" w:cs="仿宋"/>
          <w:b w:val="0"/>
          <w:bCs w:val="0"/>
          <w:color w:val="auto"/>
          <w:szCs w:val="32"/>
          <w:lang w:val="en-US" w:eastAsia="zh-CN"/>
        </w:rPr>
      </w:pPr>
      <w:r>
        <w:rPr>
          <w:rFonts w:hint="eastAsia" w:ascii="楷体" w:hAnsi="楷体" w:eastAsia="楷体"/>
          <w:b/>
          <w:bCs/>
          <w:color w:val="auto"/>
          <w:sz w:val="32"/>
          <w:szCs w:val="32"/>
          <w:u w:val="none" w:color="000000"/>
          <w:lang w:val="en-US" w:eastAsia="zh-CN"/>
        </w:rPr>
        <w:t>（二）严格培训资金管理</w:t>
      </w:r>
      <w:r>
        <w:rPr>
          <w:rFonts w:hint="eastAsia" w:ascii="楷体" w:hAnsi="楷体" w:eastAsia="楷体"/>
          <w:b w:val="0"/>
          <w:bCs w:val="0"/>
          <w:color w:val="auto"/>
          <w:sz w:val="32"/>
          <w:szCs w:val="32"/>
          <w:u w:val="none" w:color="000000"/>
          <w:lang w:val="en-US" w:eastAsia="zh-CN"/>
        </w:rPr>
        <w:t>。</w:t>
      </w:r>
      <w:r>
        <w:rPr>
          <w:b w:val="0"/>
          <w:bCs w:val="0"/>
          <w:color w:val="auto"/>
          <w:szCs w:val="32"/>
        </w:rPr>
        <w:t>根据培训方案合理安排和使用项目经费，全部用于与本培训项目相关的活动支出，</w:t>
      </w:r>
      <w:r>
        <w:rPr>
          <w:rFonts w:ascii="Times New Roman" w:hAnsi="Times New Roman"/>
          <w:b w:val="0"/>
          <w:bCs w:val="0"/>
          <w:color w:val="auto"/>
          <w:szCs w:val="32"/>
        </w:rPr>
        <w:t>包括学员食宿、培训场地和设备使用、师资培训和课件制作等</w:t>
      </w:r>
      <w:r>
        <w:rPr>
          <w:rFonts w:hint="eastAsia" w:ascii="Times New Roman" w:hAnsi="Times New Roman"/>
          <w:b w:val="0"/>
          <w:bCs w:val="0"/>
          <w:color w:val="auto"/>
          <w:szCs w:val="32"/>
        </w:rPr>
        <w:t>，</w:t>
      </w:r>
      <w:r>
        <w:rPr>
          <w:b w:val="0"/>
          <w:bCs w:val="0"/>
          <w:color w:val="auto"/>
          <w:szCs w:val="32"/>
        </w:rPr>
        <w:t>确保专款专用，不得挪作其他项目使用。</w:t>
      </w:r>
      <w:r>
        <w:rPr>
          <w:rFonts w:hint="eastAsia" w:ascii="仿宋" w:hAnsi="仿宋" w:eastAsia="仿宋" w:cs="仿宋"/>
          <w:b w:val="0"/>
          <w:bCs w:val="0"/>
          <w:color w:val="auto"/>
          <w:kern w:val="0"/>
          <w:sz w:val="32"/>
          <w:szCs w:val="32"/>
          <w:u w:val="none" w:color="000000"/>
          <w:lang w:val="en-US" w:eastAsia="zh-CN"/>
        </w:rPr>
        <w:t xml:space="preserve"> </w:t>
      </w:r>
    </w:p>
    <w:p>
      <w:pPr>
        <w:pStyle w:val="6"/>
        <w:keepNext w:val="0"/>
        <w:keepLines w:val="0"/>
        <w:pageBreakBefore w:val="0"/>
        <w:kinsoku/>
        <w:overflowPunct w:val="0"/>
        <w:autoSpaceDE w:val="0"/>
        <w:autoSpaceDN w:val="0"/>
        <w:bidi w:val="0"/>
        <w:adjustRightInd w:val="0"/>
        <w:snapToGrid w:val="0"/>
        <w:spacing w:line="600" w:lineRule="exact"/>
        <w:ind w:left="0" w:leftChars="0" w:right="0" w:rightChars="0" w:firstLine="601" w:firstLineChars="187"/>
        <w:textAlignment w:val="auto"/>
        <w:outlineLvl w:val="9"/>
        <w:rPr>
          <w:rFonts w:hint="eastAsia" w:ascii="仿宋" w:hAnsi="仿宋" w:eastAsia="仿宋" w:cs="仿宋"/>
          <w:b w:val="0"/>
          <w:bCs w:val="0"/>
          <w:color w:val="auto"/>
          <w:sz w:val="32"/>
          <w:szCs w:val="32"/>
        </w:rPr>
      </w:pPr>
      <w:r>
        <w:rPr>
          <w:rFonts w:hint="eastAsia" w:ascii="楷体" w:hAnsi="楷体" w:eastAsia="楷体"/>
          <w:b/>
          <w:bCs/>
          <w:color w:val="auto"/>
          <w:sz w:val="32"/>
          <w:szCs w:val="32"/>
          <w:u w:val="none" w:color="000000"/>
          <w:lang w:val="en-US" w:eastAsia="zh-CN"/>
        </w:rPr>
        <w:t>（三）</w:t>
      </w:r>
      <w:r>
        <w:rPr>
          <w:rFonts w:ascii="楷体" w:hAnsi="楷体" w:eastAsia="楷体"/>
          <w:b/>
          <w:bCs/>
          <w:color w:val="auto"/>
          <w:sz w:val="32"/>
          <w:szCs w:val="32"/>
          <w:u w:val="none" w:color="000000"/>
        </w:rPr>
        <w:t>确保培训效果。</w:t>
      </w:r>
      <w:r>
        <w:rPr>
          <w:rFonts w:hint="eastAsia" w:ascii="仿宋" w:hAnsi="仿宋" w:eastAsia="仿宋" w:cs="仿宋"/>
          <w:b w:val="0"/>
          <w:bCs w:val="0"/>
          <w:color w:val="auto"/>
          <w:sz w:val="32"/>
          <w:szCs w:val="32"/>
          <w:u w:val="none" w:color="000000"/>
          <w:lang w:eastAsia="zh-CN"/>
        </w:rPr>
        <w:t>要</w:t>
      </w:r>
      <w:r>
        <w:rPr>
          <w:rFonts w:hint="eastAsia" w:ascii="仿宋" w:hAnsi="仿宋" w:eastAsia="仿宋" w:cs="仿宋"/>
          <w:b w:val="0"/>
          <w:bCs w:val="0"/>
          <w:color w:val="auto"/>
          <w:sz w:val="32"/>
          <w:szCs w:val="32"/>
        </w:rPr>
        <w:t>对培训项目进行跟踪、监测</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督导和评估</w:t>
      </w:r>
      <w:r>
        <w:rPr>
          <w:rFonts w:hint="eastAsia" w:ascii="仿宋" w:hAnsi="仿宋" w:eastAsia="仿宋" w:cs="仿宋"/>
          <w:b w:val="0"/>
          <w:bCs w:val="0"/>
          <w:color w:val="auto"/>
          <w:sz w:val="32"/>
          <w:szCs w:val="32"/>
          <w:lang w:eastAsia="zh-CN"/>
        </w:rPr>
        <w:t>，以</w:t>
      </w:r>
      <w:r>
        <w:rPr>
          <w:rFonts w:hint="eastAsia" w:ascii="仿宋" w:hAnsi="仿宋" w:eastAsia="仿宋" w:cs="仿宋"/>
          <w:b w:val="0"/>
          <w:bCs w:val="0"/>
          <w:color w:val="auto"/>
          <w:sz w:val="32"/>
          <w:szCs w:val="32"/>
        </w:rPr>
        <w:t>切实发挥财政资金使用效益。</w:t>
      </w: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绩效考核</w:t>
      </w:r>
      <w:r>
        <w:rPr>
          <w:rFonts w:hint="eastAsia" w:ascii="仿宋" w:hAnsi="仿宋" w:eastAsia="仿宋" w:cs="仿宋"/>
          <w:b w:val="0"/>
          <w:bCs w:val="0"/>
          <w:color w:val="auto"/>
          <w:sz w:val="32"/>
          <w:szCs w:val="32"/>
        </w:rPr>
        <w:t>的重点包括培训制度建设</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组织管理</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基层卫生人员培训参与情况和培训效果等。对培训走过场、组织不得力</w:t>
      </w:r>
      <w:r>
        <w:rPr>
          <w:rFonts w:hint="eastAsia" w:ascii="仿宋" w:hAnsi="仿宋" w:eastAsia="仿宋" w:cs="仿宋"/>
          <w:b w:val="0"/>
          <w:bCs w:val="0"/>
          <w:color w:val="auto"/>
          <w:sz w:val="32"/>
          <w:szCs w:val="32"/>
          <w:lang w:eastAsia="zh-CN"/>
        </w:rPr>
        <w:t>的</w:t>
      </w:r>
      <w:r>
        <w:rPr>
          <w:rFonts w:hint="eastAsia" w:ascii="仿宋" w:hAnsi="仿宋" w:eastAsia="仿宋" w:cs="仿宋"/>
          <w:b w:val="0"/>
          <w:bCs w:val="0"/>
          <w:color w:val="auto"/>
          <w:sz w:val="32"/>
          <w:szCs w:val="32"/>
        </w:rPr>
        <w:t>学员和机构进行通报批评，对短期和中长期培训效果明显的学员和机构</w:t>
      </w:r>
      <w:r>
        <w:rPr>
          <w:rFonts w:hint="eastAsia" w:ascii="仿宋" w:hAnsi="仿宋" w:eastAsia="仿宋" w:cs="仿宋"/>
          <w:b w:val="0"/>
          <w:bCs w:val="0"/>
          <w:color w:val="auto"/>
          <w:sz w:val="32"/>
          <w:szCs w:val="32"/>
          <w:lang w:eastAsia="zh-CN"/>
        </w:rPr>
        <w:t>予以</w:t>
      </w:r>
      <w:r>
        <w:rPr>
          <w:rFonts w:hint="eastAsia" w:ascii="仿宋" w:hAnsi="仿宋" w:eastAsia="仿宋" w:cs="仿宋"/>
          <w:b w:val="0"/>
          <w:bCs w:val="0"/>
          <w:color w:val="auto"/>
          <w:sz w:val="32"/>
          <w:szCs w:val="32"/>
        </w:rPr>
        <w:t>表扬。</w:t>
      </w:r>
    </w:p>
    <w:p>
      <w:pPr>
        <w:pStyle w:val="6"/>
        <w:keepNext w:val="0"/>
        <w:keepLines w:val="0"/>
        <w:pageBreakBefore w:val="0"/>
        <w:widowControl w:val="0"/>
        <w:kinsoku/>
        <w:wordWrap/>
        <w:overflowPunct w:val="0"/>
        <w:autoSpaceDE w:val="0"/>
        <w:autoSpaceDN w:val="0"/>
        <w:bidi w:val="0"/>
        <w:adjustRightInd w:val="0"/>
        <w:snapToGrid w:val="0"/>
        <w:spacing w:line="600" w:lineRule="exact"/>
        <w:ind w:left="0" w:leftChars="0" w:right="0" w:rightChars="0" w:firstLine="601" w:firstLineChars="187"/>
        <w:jc w:val="both"/>
        <w:textAlignment w:val="auto"/>
        <w:outlineLvl w:val="9"/>
        <w:rPr>
          <w:rFonts w:hint="eastAsia" w:ascii="仿宋" w:hAnsi="仿宋" w:eastAsia="仿宋" w:cs="仿宋"/>
          <w:b w:val="0"/>
          <w:bCs w:val="0"/>
          <w:color w:val="auto"/>
          <w:sz w:val="32"/>
          <w:szCs w:val="32"/>
          <w:lang w:val="en-US" w:eastAsia="zh-CN"/>
        </w:rPr>
      </w:pPr>
      <w:r>
        <w:rPr>
          <w:rFonts w:hint="eastAsia" w:ascii="楷体" w:hAnsi="楷体" w:eastAsia="楷体" w:cs="楷体"/>
          <w:b/>
          <w:bCs/>
          <w:color w:val="auto"/>
          <w:sz w:val="32"/>
          <w:szCs w:val="32"/>
          <w:lang w:eastAsia="zh-CN"/>
        </w:rPr>
        <w:t>（四）及时组织补训。</w:t>
      </w:r>
      <w:r>
        <w:rPr>
          <w:rFonts w:hint="eastAsia" w:ascii="仿宋" w:hAnsi="仿宋" w:eastAsia="仿宋" w:cs="仿宋"/>
          <w:b w:val="0"/>
          <w:bCs w:val="0"/>
          <w:color w:val="auto"/>
          <w:sz w:val="32"/>
          <w:szCs w:val="32"/>
          <w:lang w:eastAsia="zh-CN"/>
        </w:rPr>
        <w:t>要求有关单位和个人，按照上报的培训计划，及时组织补训，确保人员培训率达到</w:t>
      </w:r>
      <w:r>
        <w:rPr>
          <w:rFonts w:hint="eastAsia" w:ascii="仿宋" w:hAnsi="仿宋" w:eastAsia="仿宋" w:cs="仿宋"/>
          <w:b w:val="0"/>
          <w:bCs w:val="0"/>
          <w:color w:val="auto"/>
          <w:sz w:val="32"/>
          <w:szCs w:val="32"/>
          <w:lang w:val="en-US" w:eastAsia="zh-CN"/>
        </w:rPr>
        <w:t>100%。</w:t>
      </w:r>
    </w:p>
    <w:p>
      <w:pPr>
        <w:keepNext w:val="0"/>
        <w:keepLines w:val="0"/>
        <w:pageBreakBefore w:val="0"/>
        <w:widowControl w:val="0"/>
        <w:kinsoku/>
        <w:wordWrap/>
        <w:bidi w:val="0"/>
        <w:spacing w:line="600" w:lineRule="exact"/>
        <w:ind w:left="0" w:leftChars="0" w:right="0" w:rightChars="0"/>
        <w:jc w:val="both"/>
        <w:textAlignment w:val="auto"/>
        <w:rPr>
          <w:rFonts w:hint="eastAsia" w:ascii="仿宋" w:hAnsi="仿宋" w:eastAsia="仿宋" w:cs="仿宋"/>
          <w:sz w:val="32"/>
          <w:szCs w:val="32"/>
          <w:lang w:val="en-US" w:eastAsia="zh-CN"/>
        </w:rPr>
        <w:sectPr>
          <w:headerReference r:id="rId3" w:type="default"/>
          <w:footerReference r:id="rId4" w:type="default"/>
          <w:pgSz w:w="11906" w:h="16838"/>
          <w:pgMar w:top="1984" w:right="1134" w:bottom="1701" w:left="1417" w:header="851" w:footer="992" w:gutter="0"/>
          <w:cols w:space="425" w:num="1"/>
          <w:docGrid w:type="lines" w:linePitch="312" w:charSpace="0"/>
        </w:sectPr>
      </w:pPr>
      <w:r>
        <w:rPr>
          <w:rFonts w:hint="eastAsia" w:ascii="仿宋" w:hAnsi="仿宋" w:eastAsia="仿宋" w:cs="仿宋"/>
          <w:sz w:val="32"/>
          <w:szCs w:val="32"/>
          <w:lang w:val="en-US" w:eastAsia="zh-CN"/>
        </w:rPr>
        <w:t xml:space="preserve">  </w:t>
      </w:r>
      <w:bookmarkStart w:id="0" w:name="_GoBack"/>
      <w:bookmarkEnd w:id="0"/>
    </w:p>
    <w:p>
      <w:pPr>
        <w:keepNext w:val="0"/>
        <w:keepLines w:val="0"/>
        <w:pageBreakBefore w:val="0"/>
        <w:widowControl w:val="0"/>
        <w:kinsoku/>
        <w:wordWrap/>
        <w:bidi w:val="0"/>
        <w:spacing w:line="600" w:lineRule="exact"/>
        <w:ind w:left="0" w:leftChars="0" w:right="0" w:rightChars="0"/>
        <w:jc w:val="both"/>
        <w:textAlignment w:val="auto"/>
        <w:rPr>
          <w:rFonts w:hint="eastAsia" w:ascii="黑体" w:hAnsi="黑体" w:eastAsia="黑体" w:cs="黑体"/>
          <w:b/>
          <w:bCs/>
          <w:sz w:val="30"/>
          <w:szCs w:val="30"/>
          <w:lang w:val="en-US" w:eastAsia="zh-CN"/>
        </w:rPr>
      </w:pPr>
    </w:p>
    <w:sectPr>
      <w:pgSz w:w="16838" w:h="11906" w:orient="landscape"/>
      <w:pgMar w:top="1417" w:right="1984" w:bottom="1134" w:left="1701"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54480"/>
    <w:rsid w:val="0BB73BA4"/>
    <w:rsid w:val="17B91BE4"/>
    <w:rsid w:val="21826E2C"/>
    <w:rsid w:val="21C23DBA"/>
    <w:rsid w:val="2AB706D1"/>
    <w:rsid w:val="3D9034CA"/>
    <w:rsid w:val="479A0871"/>
    <w:rsid w:val="544F140F"/>
    <w:rsid w:val="6F754480"/>
    <w:rsid w:val="757723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Body Text Indent"/>
    <w:basedOn w:val="1"/>
    <w:qFormat/>
    <w:uiPriority w:val="0"/>
    <w:pPr>
      <w:topLinePunct/>
      <w:spacing w:line="360" w:lineRule="auto"/>
      <w:ind w:firstLine="567"/>
    </w:pPr>
    <w:rPr>
      <w:rFonts w:ascii="Calibri" w:hAnsi="Calibri" w:eastAsia="仿宋_GB2312"/>
      <w:kern w:val="0"/>
      <w:sz w:val="28"/>
      <w:szCs w:val="24"/>
    </w:rPr>
  </w:style>
  <w:style w:type="paragraph" w:customStyle="1" w:styleId="7">
    <w:name w:val="List Paragraph"/>
    <w:basedOn w:val="1"/>
    <w:qFormat/>
    <w:uiPriority w:val="0"/>
    <w:pPr>
      <w:ind w:firstLine="420" w:firstLineChars="200"/>
    </w:pPr>
    <w:rPr>
      <w:rFonts w:ascii="Calibri" w:hAnsi="Calibri" w:eastAsia="仿宋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2110</Words>
  <Characters>2293</Characters>
  <Lines>0</Lines>
  <Paragraphs>0</Paragraphs>
  <TotalTime>3</TotalTime>
  <ScaleCrop>false</ScaleCrop>
  <LinksUpToDate>false</LinksUpToDate>
  <CharactersWithSpaces>2384</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2022-01-07T01:19:00Z</dcterms:created>
  <dc:creator>厉冰雪</dc:creator>
  <cp:lastModifiedBy>厉冰雪</cp:lastModifiedBy>
  <cp:lastPrinted>2022-01-13T08:40:00Z</cp:lastPrinted>
  <dcterms:modified xsi:type="dcterms:W3CDTF">2022-04-25T07:57:49Z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C10246ABAABD45EA9D308321BA9AA20E</vt:lpwstr>
  </property>
</Properties>
</file>