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8A9" w:rsidRPr="00B007A4" w:rsidRDefault="00D058A9" w:rsidP="00D058A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  <w:r w:rsidRPr="00B007A4"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三门峡市人民政府国有资产监督管理委员会</w:t>
      </w:r>
    </w:p>
    <w:p w:rsidR="00D058A9" w:rsidRPr="00B007A4" w:rsidRDefault="00D058A9" w:rsidP="00D058A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  <w:r w:rsidRPr="00B007A4"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整体自评报告</w:t>
      </w:r>
    </w:p>
    <w:p w:rsidR="00D058A9" w:rsidRDefault="00D058A9" w:rsidP="00D058A9">
      <w:pPr>
        <w:spacing w:line="600" w:lineRule="exact"/>
        <w:jc w:val="center"/>
        <w:rPr>
          <w:rFonts w:ascii="黑体" w:hAnsi="黑体" w:cs="黑体"/>
          <w:bCs/>
          <w:color w:val="000000"/>
          <w:szCs w:val="30"/>
        </w:rPr>
      </w:pPr>
    </w:p>
    <w:p w:rsidR="00D058A9" w:rsidRDefault="00D058A9" w:rsidP="00D058A9">
      <w:pPr>
        <w:spacing w:line="600" w:lineRule="exact"/>
        <w:ind w:firstLineChars="200" w:firstLine="600"/>
        <w:rPr>
          <w:rFonts w:ascii="黑体" w:eastAsia="黑体" w:hAnsi="黑体" w:cs="黑体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一、基本情况</w:t>
      </w:r>
    </w:p>
    <w:p w:rsidR="00D058A9" w:rsidRPr="00B007A4" w:rsidRDefault="00D058A9" w:rsidP="00D058A9">
      <w:pPr>
        <w:spacing w:line="600" w:lineRule="exact"/>
        <w:ind w:firstLineChars="200" w:firstLine="600"/>
        <w:rPr>
          <w:rFonts w:ascii="楷体" w:eastAsia="楷体" w:hAnsi="楷体" w:cs="仿宋_GB2312"/>
          <w:bCs/>
          <w:color w:val="000000"/>
          <w:szCs w:val="30"/>
        </w:rPr>
      </w:pPr>
      <w:r>
        <w:rPr>
          <w:rFonts w:ascii="楷体" w:eastAsia="楷体" w:hAnsi="楷体" w:cs="仿宋_GB2312" w:hint="eastAsia"/>
          <w:bCs/>
          <w:color w:val="000000"/>
          <w:szCs w:val="30"/>
        </w:rPr>
        <w:t>（一）年度部门总目标及主要任务</w:t>
      </w:r>
    </w:p>
    <w:p w:rsidR="001E58F1" w:rsidRDefault="001E58F1" w:rsidP="001E58F1">
      <w:pPr>
        <w:spacing w:line="560" w:lineRule="exact"/>
        <w:ind w:firstLineChars="200" w:firstLine="643"/>
        <w:rPr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1.</w:t>
      </w:r>
      <w:r>
        <w:rPr>
          <w:rFonts w:eastAsia="楷体_GB2312"/>
          <w:b/>
          <w:sz w:val="32"/>
          <w:szCs w:val="32"/>
        </w:rPr>
        <w:t>积极稳妥推进国企改革工作任务</w:t>
      </w:r>
      <w:r>
        <w:rPr>
          <w:rFonts w:eastAsia="楷体_GB2312" w:hint="eastAsia"/>
          <w:b/>
          <w:sz w:val="32"/>
          <w:szCs w:val="32"/>
        </w:rPr>
        <w:t>。</w:t>
      </w:r>
      <w:r>
        <w:rPr>
          <w:b/>
          <w:sz w:val="32"/>
          <w:szCs w:val="32"/>
        </w:rPr>
        <w:t>一是</w:t>
      </w:r>
      <w:r>
        <w:rPr>
          <w:sz w:val="32"/>
          <w:szCs w:val="32"/>
        </w:rPr>
        <w:t>完成国有企业退休人员社会化管理工作。根据我市退休人员移交工作现状，探索新的措施办法，督促各县（市、区）特别是湖滨区加大工作力度，争取在年底前全面完成国有企业退休人员社会化管理工作。</w:t>
      </w:r>
      <w:r>
        <w:rPr>
          <w:b/>
          <w:sz w:val="32"/>
          <w:szCs w:val="32"/>
        </w:rPr>
        <w:t>二是</w:t>
      </w:r>
      <w:r>
        <w:rPr>
          <w:sz w:val="32"/>
          <w:szCs w:val="32"/>
        </w:rPr>
        <w:t>争取</w:t>
      </w:r>
      <w:r>
        <w:rPr>
          <w:sz w:val="32"/>
          <w:szCs w:val="32"/>
        </w:rPr>
        <w:t>“</w:t>
      </w:r>
      <w:r>
        <w:rPr>
          <w:sz w:val="32"/>
          <w:szCs w:val="32"/>
        </w:rPr>
        <w:t>僵尸企业</w:t>
      </w:r>
      <w:r>
        <w:rPr>
          <w:sz w:val="32"/>
          <w:szCs w:val="32"/>
        </w:rPr>
        <w:t>”</w:t>
      </w:r>
      <w:r>
        <w:rPr>
          <w:sz w:val="32"/>
          <w:szCs w:val="32"/>
        </w:rPr>
        <w:t>处置后续工作大头落地。持续加强与市人社部门的沟通协调，采取一切可能的办法加快僵尸企业养老保险核销，尽快理顺养老保险关系；确定不能核销的，开展新一轮市场化融资，尽快补齐拖欠的养老金，彻底完成破产清算工作。</w:t>
      </w:r>
      <w:r>
        <w:rPr>
          <w:b/>
          <w:sz w:val="32"/>
          <w:szCs w:val="32"/>
        </w:rPr>
        <w:t>三是</w:t>
      </w:r>
      <w:r>
        <w:rPr>
          <w:sz w:val="32"/>
          <w:szCs w:val="32"/>
        </w:rPr>
        <w:t>完成相关企业脱钩改制工作。完成原市粮食局一库、二库和军供站企业移交，启动</w:t>
      </w:r>
      <w:r>
        <w:rPr>
          <w:sz w:val="32"/>
          <w:szCs w:val="32"/>
        </w:rPr>
        <w:t>4</w:t>
      </w:r>
      <w:r>
        <w:rPr>
          <w:sz w:val="32"/>
          <w:szCs w:val="32"/>
        </w:rPr>
        <w:t>家粮食企业公司制改制工作；全面完成市电影公司公司制脱钩改制工作；基本完成地质矿产事务所、崤函监理公司、图审所脱钩改制工作。</w:t>
      </w:r>
      <w:r>
        <w:rPr>
          <w:b/>
          <w:sz w:val="32"/>
          <w:szCs w:val="32"/>
        </w:rPr>
        <w:t>四是</w:t>
      </w:r>
      <w:r>
        <w:rPr>
          <w:sz w:val="32"/>
          <w:szCs w:val="32"/>
        </w:rPr>
        <w:t>继续推进市水投公司组建工作。根据市主要领导指示精神，继续加大与水利部门沟通，深入开展水利资产调研，探索市水投集团组建可行性，修订市水投集团组建方案，尽快提交市委、市政府决策。</w:t>
      </w:r>
    </w:p>
    <w:p w:rsidR="001E58F1" w:rsidRDefault="001E58F1" w:rsidP="001E58F1">
      <w:pPr>
        <w:spacing w:line="560" w:lineRule="exact"/>
        <w:ind w:firstLineChars="200" w:firstLine="643"/>
        <w:rPr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2.</w:t>
      </w:r>
      <w:r>
        <w:rPr>
          <w:rFonts w:eastAsia="楷体_GB2312"/>
          <w:b/>
          <w:sz w:val="32"/>
          <w:szCs w:val="32"/>
        </w:rPr>
        <w:t>持续加强国资国企监管工作。</w:t>
      </w:r>
      <w:r>
        <w:rPr>
          <w:b/>
          <w:sz w:val="32"/>
          <w:szCs w:val="32"/>
        </w:rPr>
        <w:t>一是</w:t>
      </w:r>
      <w:r>
        <w:rPr>
          <w:sz w:val="32"/>
          <w:szCs w:val="32"/>
        </w:rPr>
        <w:t>做好年度统计和财务预决算的编制工作。</w:t>
      </w:r>
      <w:r>
        <w:rPr>
          <w:kern w:val="0"/>
          <w:sz w:val="32"/>
          <w:szCs w:val="32"/>
        </w:rPr>
        <w:t>指导企业围绕战略规划，科学预测年度财务状况、经营成果、现金流量及重要财务事项；加强财务决算的审计</w:t>
      </w:r>
      <w:r>
        <w:rPr>
          <w:kern w:val="0"/>
          <w:sz w:val="32"/>
          <w:szCs w:val="32"/>
        </w:rPr>
        <w:lastRenderedPageBreak/>
        <w:t>工作，确保决算报告真实可靠。</w:t>
      </w:r>
      <w:r>
        <w:rPr>
          <w:b/>
          <w:sz w:val="32"/>
          <w:szCs w:val="32"/>
        </w:rPr>
        <w:t>二是</w:t>
      </w:r>
      <w:r>
        <w:rPr>
          <w:kern w:val="0"/>
          <w:sz w:val="32"/>
          <w:szCs w:val="32"/>
        </w:rPr>
        <w:t>做好日常财务监督，发挥经济运行分析会作用。做好每月财务快报上报和资产负债率管控工作，对企业日常财务管理中存在的问题及时提出整改意见，建立完善重点企业经济运行分析会制度，规范监管工作。</w:t>
      </w:r>
      <w:r>
        <w:rPr>
          <w:b/>
          <w:sz w:val="32"/>
          <w:szCs w:val="32"/>
        </w:rPr>
        <w:t>三是</w:t>
      </w:r>
      <w:r>
        <w:rPr>
          <w:kern w:val="0"/>
          <w:sz w:val="32"/>
          <w:szCs w:val="32"/>
        </w:rPr>
        <w:t>规范企业经营业绩目标管理和考核。按照修订后的《三门峡市市属国有企业负责人经营业绩考核办法》及配套实施细则规定，对所有监管企业实施目标管理和业绩考核。</w:t>
      </w:r>
      <w:r>
        <w:rPr>
          <w:b/>
          <w:sz w:val="32"/>
          <w:szCs w:val="32"/>
        </w:rPr>
        <w:t>四是</w:t>
      </w:r>
      <w:r>
        <w:rPr>
          <w:sz w:val="32"/>
          <w:szCs w:val="32"/>
        </w:rPr>
        <w:t>加快市属国有企业负责人薪酬改革工作。认真做好企业负责人薪酬制度改革工作，及时核算并确定纳入改革范围企业负责人薪酬；严格按照标准对申请纳入薪酬改革范围企业进行审核，</w:t>
      </w:r>
      <w:r>
        <w:rPr>
          <w:color w:val="000000" w:themeColor="text1"/>
          <w:sz w:val="32"/>
          <w:szCs w:val="36"/>
        </w:rPr>
        <w:t>建立健全按业绩贡献决定薪酬分配机制，</w:t>
      </w:r>
      <w:r>
        <w:rPr>
          <w:sz w:val="32"/>
          <w:szCs w:val="32"/>
        </w:rPr>
        <w:t>推动薪酬改革工作进一步开展。</w:t>
      </w:r>
    </w:p>
    <w:p w:rsidR="001E58F1" w:rsidRDefault="001E58F1" w:rsidP="001E58F1">
      <w:pPr>
        <w:spacing w:line="560" w:lineRule="exact"/>
        <w:ind w:firstLineChars="200" w:firstLine="643"/>
        <w:rPr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3.</w:t>
      </w:r>
      <w:r>
        <w:rPr>
          <w:rFonts w:eastAsia="楷体_GB2312"/>
          <w:b/>
          <w:sz w:val="32"/>
          <w:szCs w:val="32"/>
        </w:rPr>
        <w:t>持续加强国企党建。</w:t>
      </w:r>
      <w:r>
        <w:rPr>
          <w:b/>
          <w:sz w:val="32"/>
          <w:szCs w:val="32"/>
        </w:rPr>
        <w:t>一是</w:t>
      </w:r>
      <w:r>
        <w:rPr>
          <w:sz w:val="32"/>
          <w:szCs w:val="32"/>
        </w:rPr>
        <w:t>深入学习贯彻习近平新时代中国特色社会主义思想，把学习党的十九届五中全会精神作为当前和今后一个时期政治任务，落实</w:t>
      </w:r>
      <w:r>
        <w:rPr>
          <w:sz w:val="32"/>
          <w:szCs w:val="32"/>
        </w:rPr>
        <w:t>“</w:t>
      </w:r>
      <w:r>
        <w:rPr>
          <w:sz w:val="32"/>
          <w:szCs w:val="32"/>
        </w:rPr>
        <w:t>第一议题</w:t>
      </w:r>
      <w:r>
        <w:rPr>
          <w:sz w:val="32"/>
          <w:szCs w:val="32"/>
        </w:rPr>
        <w:t>”</w:t>
      </w:r>
      <w:r>
        <w:rPr>
          <w:sz w:val="32"/>
          <w:szCs w:val="32"/>
        </w:rPr>
        <w:t>制度，深化理论武装。</w:t>
      </w:r>
      <w:r>
        <w:rPr>
          <w:b/>
          <w:sz w:val="32"/>
          <w:szCs w:val="32"/>
        </w:rPr>
        <w:t>二是</w:t>
      </w:r>
      <w:r>
        <w:rPr>
          <w:sz w:val="32"/>
          <w:szCs w:val="32"/>
        </w:rPr>
        <w:t>加强国有企业党支部标准化规范化建设，打造一批内涵丰富、亮点突出、彰显国企特色的优秀党建品牌，发挥党建品牌的示范带动效应，打造坚强战斗堡垒。</w:t>
      </w:r>
      <w:r>
        <w:rPr>
          <w:b/>
          <w:sz w:val="32"/>
          <w:szCs w:val="32"/>
        </w:rPr>
        <w:t>三是</w:t>
      </w:r>
      <w:r>
        <w:rPr>
          <w:sz w:val="32"/>
          <w:szCs w:val="32"/>
        </w:rPr>
        <w:t>强化意识形态工作，压实责任，通过培训、督查、通报、考核等方式，推动国有企业严格落实意识形态工作责任制，强化检查考评机制建设。</w:t>
      </w:r>
    </w:p>
    <w:p w:rsidR="00D058A9" w:rsidRDefault="00D058A9" w:rsidP="00D058A9">
      <w:pPr>
        <w:spacing w:line="600" w:lineRule="exact"/>
        <w:rPr>
          <w:rFonts w:ascii="楷体" w:eastAsia="楷体" w:hAnsi="楷体" w:cs="仿宋_GB2312"/>
          <w:bCs/>
          <w:color w:val="000000"/>
          <w:szCs w:val="30"/>
        </w:rPr>
      </w:pPr>
      <w:r>
        <w:rPr>
          <w:rFonts w:ascii="仿宋_GB2312" w:hAnsi="仿宋_GB2312" w:cs="仿宋_GB2312" w:hint="eastAsia"/>
          <w:bCs/>
          <w:color w:val="000000"/>
          <w:szCs w:val="30"/>
        </w:rPr>
        <w:t xml:space="preserve">     </w:t>
      </w:r>
      <w:r w:rsidRPr="00B007A4">
        <w:rPr>
          <w:rFonts w:ascii="楷体" w:eastAsia="楷体" w:hAnsi="楷体" w:cs="仿宋_GB2312" w:hint="eastAsia"/>
          <w:bCs/>
          <w:color w:val="000000"/>
          <w:szCs w:val="30"/>
        </w:rPr>
        <w:t>（二）年度部门整体预算绩效目标、绩效指标设定情况</w:t>
      </w:r>
    </w:p>
    <w:p w:rsidR="00D058A9" w:rsidRPr="00B007A4" w:rsidRDefault="00D058A9" w:rsidP="00D058A9">
      <w:pPr>
        <w:spacing w:line="600" w:lineRule="exact"/>
        <w:rPr>
          <w:rFonts w:ascii="楷体" w:eastAsia="楷体" w:hAnsi="楷体" w:cs="仿宋_GB2312"/>
          <w:bCs/>
          <w:color w:val="000000"/>
          <w:szCs w:val="30"/>
        </w:rPr>
      </w:pPr>
      <w:r>
        <w:rPr>
          <w:rFonts w:ascii="楷体" w:eastAsia="楷体" w:hAnsi="楷体" w:cs="仿宋_GB2312" w:hint="eastAsia"/>
          <w:bCs/>
          <w:color w:val="000000"/>
          <w:szCs w:val="30"/>
        </w:rPr>
        <w:t xml:space="preserve">      </w:t>
      </w:r>
      <w:r w:rsidR="00964A1B">
        <w:rPr>
          <w:rFonts w:ascii="仿宋" w:eastAsia="仿宋" w:hAnsi="仿宋" w:hint="eastAsia"/>
          <w:kern w:val="0"/>
          <w:sz w:val="32"/>
          <w:szCs w:val="32"/>
        </w:rPr>
        <w:t>2021</w:t>
      </w:r>
      <w:r w:rsidRPr="00B007A4">
        <w:rPr>
          <w:rFonts w:ascii="仿宋" w:eastAsia="仿宋" w:hAnsi="仿宋" w:hint="eastAsia"/>
          <w:kern w:val="0"/>
          <w:sz w:val="32"/>
          <w:szCs w:val="32"/>
        </w:rPr>
        <w:t>年市政府国资委整体预算绩效目标围绕</w:t>
      </w:r>
      <w:r w:rsidR="00964A1B">
        <w:rPr>
          <w:rFonts w:ascii="仿宋" w:eastAsia="仿宋" w:hAnsi="仿宋" w:hint="eastAsia"/>
          <w:kern w:val="0"/>
          <w:sz w:val="32"/>
          <w:szCs w:val="32"/>
        </w:rPr>
        <w:t>2021</w:t>
      </w:r>
      <w:r w:rsidRPr="00B007A4">
        <w:rPr>
          <w:rFonts w:ascii="仿宋" w:eastAsia="仿宋" w:hAnsi="仿宋" w:hint="eastAsia"/>
          <w:kern w:val="0"/>
          <w:sz w:val="32"/>
          <w:szCs w:val="32"/>
        </w:rPr>
        <w:t>年工作目标及国企改革重点工作任务分解设定，年度总目标和任务主要包括国企改革攻坚工作、统一集中监管体制建设、市属国有企业</w:t>
      </w:r>
      <w:r w:rsidRPr="00B007A4">
        <w:rPr>
          <w:rFonts w:ascii="仿宋" w:eastAsia="仿宋" w:hAnsi="仿宋" w:hint="eastAsia"/>
          <w:kern w:val="0"/>
          <w:sz w:val="32"/>
          <w:szCs w:val="32"/>
        </w:rPr>
        <w:lastRenderedPageBreak/>
        <w:t>党建设等方面。</w:t>
      </w:r>
      <w:r>
        <w:rPr>
          <w:rFonts w:ascii="仿宋" w:eastAsia="仿宋" w:hAnsi="仿宋" w:hint="eastAsia"/>
          <w:kern w:val="0"/>
          <w:sz w:val="32"/>
          <w:szCs w:val="32"/>
        </w:rPr>
        <w:t>绩绞指标共设三级指标，其中一级指标包括投入管理指标、产出指标、效益指标。</w:t>
      </w:r>
    </w:p>
    <w:p w:rsidR="00D058A9" w:rsidRDefault="00D058A9" w:rsidP="00D058A9">
      <w:pPr>
        <w:spacing w:line="560" w:lineRule="exact"/>
        <w:ind w:firstLineChars="200" w:firstLine="600"/>
        <w:rPr>
          <w:rFonts w:ascii="黑体" w:eastAsia="黑体" w:hAnsi="黑体" w:cs="黑体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二、绩效自评工作开展情况</w:t>
      </w:r>
    </w:p>
    <w:p w:rsidR="00D058A9" w:rsidRDefault="00D058A9" w:rsidP="00D058A9">
      <w:pPr>
        <w:pStyle w:val="a3"/>
        <w:spacing w:before="0" w:beforeAutospacing="0" w:after="0" w:afterAutospacing="0" w:line="560" w:lineRule="exact"/>
        <w:rPr>
          <w:rFonts w:ascii="黑体" w:eastAsia="黑体" w:hAnsi="黑体" w:cs="黑体"/>
          <w:bCs/>
          <w:color w:val="000000"/>
          <w:sz w:val="30"/>
          <w:szCs w:val="30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 </w:t>
      </w:r>
      <w:r w:rsidRPr="008E5CB7">
        <w:rPr>
          <w:rFonts w:ascii="仿宋" w:eastAsia="仿宋" w:hAnsi="仿宋" w:cs="Times New Roman" w:hint="eastAsia"/>
          <w:sz w:val="32"/>
          <w:szCs w:val="32"/>
        </w:rPr>
        <w:t xml:space="preserve"> 根据20</w:t>
      </w:r>
      <w:r w:rsidR="00B74143">
        <w:rPr>
          <w:rFonts w:ascii="仿宋" w:eastAsia="仿宋" w:hAnsi="仿宋" w:cs="Times New Roman" w:hint="eastAsia"/>
          <w:sz w:val="32"/>
          <w:szCs w:val="32"/>
        </w:rPr>
        <w:t>21</w:t>
      </w:r>
      <w:r w:rsidRPr="008E5CB7">
        <w:rPr>
          <w:rFonts w:ascii="仿宋" w:eastAsia="仿宋" w:hAnsi="仿宋" w:cs="Times New Roman" w:hint="eastAsia"/>
          <w:sz w:val="32"/>
          <w:szCs w:val="32"/>
        </w:rPr>
        <w:t>年绩效目标设定，对工作目标管理、预算和财务管理、绩效管理、重点工作任务完成、履职目标实现、履职效益、满意度等指标开展自评，通过查询相关资料和工作完成情况对三级指标进行打分。</w:t>
      </w:r>
      <w:r>
        <w:rPr>
          <w:rFonts w:ascii="仿宋" w:eastAsia="仿宋" w:hAnsi="仿宋" w:cs="Times New Roman" w:hint="eastAsia"/>
          <w:sz w:val="32"/>
          <w:szCs w:val="32"/>
        </w:rPr>
        <w:t>评价得分为100分。其中预算执行10分，工作目标管理8分，预算和财务管理</w:t>
      </w:r>
      <w:r w:rsidR="00B74143">
        <w:rPr>
          <w:rFonts w:ascii="仿宋" w:eastAsia="仿宋" w:hAnsi="仿宋" w:cs="Times New Roman" w:hint="eastAsia"/>
          <w:sz w:val="32"/>
          <w:szCs w:val="32"/>
        </w:rPr>
        <w:t>29</w:t>
      </w:r>
      <w:r>
        <w:rPr>
          <w:rFonts w:ascii="仿宋" w:eastAsia="仿宋" w:hAnsi="仿宋" w:cs="Times New Roman" w:hint="eastAsia"/>
          <w:sz w:val="32"/>
          <w:szCs w:val="32"/>
        </w:rPr>
        <w:t>分，绩效管理8分，重点工作任务完成</w:t>
      </w:r>
      <w:r w:rsidR="00B74143">
        <w:rPr>
          <w:rFonts w:ascii="仿宋" w:eastAsia="仿宋" w:hAnsi="仿宋" w:cs="Times New Roman" w:hint="eastAsia"/>
          <w:sz w:val="32"/>
          <w:szCs w:val="32"/>
        </w:rPr>
        <w:t>15</w:t>
      </w:r>
      <w:r>
        <w:rPr>
          <w:rFonts w:ascii="仿宋" w:eastAsia="仿宋" w:hAnsi="仿宋" w:cs="Times New Roman" w:hint="eastAsia"/>
          <w:sz w:val="32"/>
          <w:szCs w:val="32"/>
        </w:rPr>
        <w:t>分，履职目标实现</w:t>
      </w:r>
      <w:r w:rsidR="00B74143">
        <w:rPr>
          <w:rFonts w:ascii="仿宋" w:eastAsia="仿宋" w:hAnsi="仿宋" w:cs="Times New Roman" w:hint="eastAsia"/>
          <w:sz w:val="32"/>
          <w:szCs w:val="32"/>
        </w:rPr>
        <w:t>15</w:t>
      </w:r>
      <w:r>
        <w:rPr>
          <w:rFonts w:ascii="仿宋" w:eastAsia="仿宋" w:hAnsi="仿宋" w:cs="Times New Roman" w:hint="eastAsia"/>
          <w:sz w:val="32"/>
          <w:szCs w:val="32"/>
        </w:rPr>
        <w:t>分，履职效益</w:t>
      </w:r>
      <w:r w:rsidR="00B74143">
        <w:rPr>
          <w:rFonts w:ascii="仿宋" w:eastAsia="仿宋" w:hAnsi="仿宋" w:cs="Times New Roman" w:hint="eastAsia"/>
          <w:sz w:val="32"/>
          <w:szCs w:val="32"/>
        </w:rPr>
        <w:t>10</w:t>
      </w:r>
      <w:r>
        <w:rPr>
          <w:rFonts w:ascii="仿宋" w:eastAsia="仿宋" w:hAnsi="仿宋" w:cs="Times New Roman" w:hint="eastAsia"/>
          <w:sz w:val="32"/>
          <w:szCs w:val="32"/>
        </w:rPr>
        <w:t>分，满意度</w:t>
      </w:r>
      <w:r w:rsidR="00B74143">
        <w:rPr>
          <w:rFonts w:ascii="仿宋" w:eastAsia="仿宋" w:hAnsi="仿宋" w:cs="Times New Roman" w:hint="eastAsia"/>
          <w:sz w:val="32"/>
          <w:szCs w:val="32"/>
        </w:rPr>
        <w:t>5</w:t>
      </w:r>
      <w:r>
        <w:rPr>
          <w:rFonts w:ascii="仿宋" w:eastAsia="仿宋" w:hAnsi="仿宋" w:cs="Times New Roman" w:hint="eastAsia"/>
          <w:sz w:val="32"/>
          <w:szCs w:val="32"/>
        </w:rPr>
        <w:t>分。</w:t>
      </w:r>
    </w:p>
    <w:p w:rsidR="00D058A9" w:rsidRDefault="00D058A9" w:rsidP="00D058A9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绩效目标实现情况分析</w:t>
      </w:r>
    </w:p>
    <w:p w:rsidR="00D058A9" w:rsidRPr="008712FC" w:rsidRDefault="00D058A9" w:rsidP="00D058A9">
      <w:pPr>
        <w:spacing w:line="6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8712FC">
        <w:rPr>
          <w:rFonts w:ascii="楷体" w:eastAsia="楷体" w:hAnsi="楷体" w:hint="eastAsia"/>
          <w:kern w:val="0"/>
          <w:sz w:val="32"/>
          <w:szCs w:val="32"/>
        </w:rPr>
        <w:t>（一）部门资金情况分析</w:t>
      </w:r>
    </w:p>
    <w:p w:rsidR="00D058A9" w:rsidRPr="008712FC" w:rsidRDefault="00D058A9" w:rsidP="00D058A9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8712FC">
        <w:rPr>
          <w:rFonts w:ascii="仿宋" w:eastAsia="仿宋" w:hAnsi="仿宋" w:hint="eastAsia"/>
          <w:kern w:val="0"/>
          <w:sz w:val="32"/>
          <w:szCs w:val="32"/>
        </w:rPr>
        <w:t>年度预算资金全部到位，并按照工作进度拨付、使用资金。在工作中，加强资金管理和使用。</w:t>
      </w:r>
    </w:p>
    <w:p w:rsidR="00D058A9" w:rsidRPr="008712FC" w:rsidRDefault="00D058A9" w:rsidP="00D058A9">
      <w:pPr>
        <w:numPr>
          <w:ilvl w:val="0"/>
          <w:numId w:val="2"/>
        </w:numPr>
        <w:spacing w:line="6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8712FC">
        <w:rPr>
          <w:rFonts w:ascii="楷体" w:eastAsia="楷体" w:hAnsi="楷体" w:hint="eastAsia"/>
          <w:kern w:val="0"/>
          <w:sz w:val="32"/>
          <w:szCs w:val="32"/>
        </w:rPr>
        <w:t>项目绩效指标完成情况分析</w:t>
      </w:r>
    </w:p>
    <w:p w:rsidR="00D058A9" w:rsidRPr="008712FC" w:rsidRDefault="00D058A9" w:rsidP="00D058A9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8712FC">
        <w:rPr>
          <w:rFonts w:ascii="仿宋" w:eastAsia="仿宋" w:hAnsi="仿宋" w:hint="eastAsia"/>
          <w:kern w:val="0"/>
          <w:sz w:val="32"/>
          <w:szCs w:val="32"/>
        </w:rPr>
        <w:t>1.投入管理指标完成情况分析</w:t>
      </w:r>
    </w:p>
    <w:p w:rsidR="00D058A9" w:rsidRPr="008712FC" w:rsidRDefault="00D058A9" w:rsidP="00D058A9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8712FC">
        <w:rPr>
          <w:rFonts w:ascii="仿宋" w:eastAsia="仿宋" w:hAnsi="仿宋" w:hint="eastAsia"/>
          <w:kern w:val="0"/>
          <w:sz w:val="32"/>
          <w:szCs w:val="32"/>
        </w:rPr>
        <w:t>工作目标、预算和财务管理、绩效管理指标全部完成。</w:t>
      </w:r>
    </w:p>
    <w:p w:rsidR="00D058A9" w:rsidRPr="008712FC" w:rsidRDefault="00D058A9" w:rsidP="00D058A9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8712FC">
        <w:rPr>
          <w:rFonts w:ascii="仿宋" w:eastAsia="仿宋" w:hAnsi="仿宋" w:hint="eastAsia"/>
          <w:kern w:val="0"/>
          <w:sz w:val="32"/>
          <w:szCs w:val="32"/>
        </w:rPr>
        <w:t>2.产出指标完成情况分析</w:t>
      </w:r>
    </w:p>
    <w:p w:rsidR="00D058A9" w:rsidRPr="008712FC" w:rsidRDefault="00D058A9" w:rsidP="00D058A9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8712FC">
        <w:rPr>
          <w:rFonts w:ascii="仿宋" w:eastAsia="仿宋" w:hAnsi="仿宋" w:hint="eastAsia"/>
          <w:kern w:val="0"/>
          <w:sz w:val="32"/>
          <w:szCs w:val="32"/>
        </w:rPr>
        <w:t>重点工作任务及目标指标全部完成</w:t>
      </w:r>
    </w:p>
    <w:p w:rsidR="00D058A9" w:rsidRPr="008712FC" w:rsidRDefault="00D058A9" w:rsidP="00D058A9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8712FC">
        <w:rPr>
          <w:rFonts w:ascii="仿宋" w:eastAsia="仿宋" w:hAnsi="仿宋" w:hint="eastAsia"/>
          <w:kern w:val="0"/>
          <w:sz w:val="32"/>
          <w:szCs w:val="32"/>
        </w:rPr>
        <w:t>3.效益指标完成情况分析</w:t>
      </w:r>
    </w:p>
    <w:p w:rsidR="00D058A9" w:rsidRPr="008712FC" w:rsidRDefault="00D058A9" w:rsidP="00D058A9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8712FC">
        <w:rPr>
          <w:rFonts w:ascii="仿宋" w:eastAsia="仿宋" w:hAnsi="仿宋" w:hint="eastAsia"/>
          <w:kern w:val="0"/>
          <w:sz w:val="32"/>
          <w:szCs w:val="32"/>
        </w:rPr>
        <w:t>效益指标按照设定已全部完成</w:t>
      </w:r>
    </w:p>
    <w:p w:rsidR="00D12BA0" w:rsidRPr="00D058A9" w:rsidRDefault="00D12BA0"/>
    <w:sectPr w:rsidR="00D12BA0" w:rsidRPr="00D058A9" w:rsidSect="00FA51A8">
      <w:footerReference w:type="default" r:id="rId7"/>
      <w:pgSz w:w="11906" w:h="16838"/>
      <w:pgMar w:top="1928" w:right="1531" w:bottom="1701" w:left="1531" w:header="737" w:footer="851" w:gutter="0"/>
      <w:pgNumType w:fmt="numberInDash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02D" w:rsidRDefault="0096302D" w:rsidP="00EC3E1C">
      <w:r>
        <w:separator/>
      </w:r>
    </w:p>
  </w:endnote>
  <w:endnote w:type="continuationSeparator" w:id="1">
    <w:p w:rsidR="0096302D" w:rsidRDefault="0096302D" w:rsidP="00EC3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5548299"/>
      <w:docPartObj>
        <w:docPartGallery w:val="Page Numbers (Bottom of Page)"/>
        <w:docPartUnique/>
      </w:docPartObj>
    </w:sdtPr>
    <w:sdtContent>
      <w:p w:rsidR="00B74143" w:rsidRDefault="00170DFF">
        <w:pPr>
          <w:pStyle w:val="a5"/>
          <w:jc w:val="center"/>
        </w:pPr>
        <w:fldSimple w:instr=" PAGE   \* MERGEFORMAT ">
          <w:r w:rsidR="000674BE" w:rsidRPr="000674BE">
            <w:rPr>
              <w:noProof/>
              <w:lang w:val="zh-CN"/>
            </w:rPr>
            <w:t>-</w:t>
          </w:r>
          <w:r w:rsidR="000674BE">
            <w:rPr>
              <w:noProof/>
            </w:rPr>
            <w:t xml:space="preserve"> 3 -</w:t>
          </w:r>
        </w:fldSimple>
      </w:p>
    </w:sdtContent>
  </w:sdt>
  <w:p w:rsidR="00B74143" w:rsidRDefault="00B7414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02D" w:rsidRDefault="0096302D" w:rsidP="00EC3E1C">
      <w:r>
        <w:separator/>
      </w:r>
    </w:p>
  </w:footnote>
  <w:footnote w:type="continuationSeparator" w:id="1">
    <w:p w:rsidR="0096302D" w:rsidRDefault="0096302D" w:rsidP="00EC3E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10DBB1A"/>
    <w:multiLevelType w:val="singleLevel"/>
    <w:tmpl w:val="F10DBB1A"/>
    <w:lvl w:ilvl="0">
      <w:start w:val="2"/>
      <w:numFmt w:val="chineseCounting"/>
      <w:suff w:val="nothing"/>
      <w:lvlText w:val="（%1）"/>
      <w:lvlJc w:val="left"/>
      <w:rPr>
        <w:rFonts w:hint="eastAsia"/>
        <w:b w:val="0"/>
        <w:bCs w:val="0"/>
      </w:rPr>
    </w:lvl>
  </w:abstractNum>
  <w:abstractNum w:abstractNumId="1">
    <w:nsid w:val="7B1ABEF9"/>
    <w:multiLevelType w:val="singleLevel"/>
    <w:tmpl w:val="7B1ABEF9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58A9"/>
    <w:rsid w:val="000674BE"/>
    <w:rsid w:val="00170DFF"/>
    <w:rsid w:val="001E58F1"/>
    <w:rsid w:val="00234AB6"/>
    <w:rsid w:val="00897C4F"/>
    <w:rsid w:val="0096302D"/>
    <w:rsid w:val="00964A1B"/>
    <w:rsid w:val="00B74143"/>
    <w:rsid w:val="00D058A9"/>
    <w:rsid w:val="00D12BA0"/>
    <w:rsid w:val="00EC3E1C"/>
    <w:rsid w:val="00F3596B"/>
    <w:rsid w:val="00FA5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8A9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8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EC3E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C3E1C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C3E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C3E1C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238</Words>
  <Characters>1357</Characters>
  <Application>Microsoft Office Word</Application>
  <DocSecurity>0</DocSecurity>
  <Lines>11</Lines>
  <Paragraphs>3</Paragraphs>
  <ScaleCrop>false</ScaleCrop>
  <Company>Microsoft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2022-05-24T02:07:00Z</cp:lastPrinted>
  <dcterms:created xsi:type="dcterms:W3CDTF">2022-05-24T08:11:00Z</dcterms:created>
  <dcterms:modified xsi:type="dcterms:W3CDTF">2022-05-24T08:11:00Z</dcterms:modified>
</cp:coreProperties>
</file>