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bookmarkStart w:id="0" w:name="_GoBack"/>
      <w:bookmarkEnd w:id="0"/>
      <w:r>
        <w:rPr>
          <w:rFonts w:hint="eastAsia" w:ascii="黑体" w:hAnsi="黑体" w:eastAsia="黑体"/>
          <w:bCs/>
          <w:szCs w:val="44"/>
        </w:rPr>
        <w:t>附件5</w:t>
      </w:r>
    </w:p>
    <w:p>
      <w:pPr>
        <w:jc w:val="center"/>
        <w:rPr>
          <w:rFonts w:ascii="方正小标宋简体" w:hAnsi="Arial" w:eastAsia="方正小标宋简体" w:cs="Arial"/>
          <w:sz w:val="40"/>
          <w:szCs w:val="44"/>
        </w:rPr>
      </w:pPr>
      <w:r>
        <w:rPr>
          <w:rFonts w:hint="eastAsia" w:ascii="方正小标宋简体" w:hAnsi="Arial" w:eastAsia="方正小标宋简体" w:cs="Arial"/>
          <w:sz w:val="40"/>
          <w:szCs w:val="44"/>
        </w:rPr>
        <w:t>项目部门评价报告</w:t>
      </w:r>
    </w:p>
    <w:p>
      <w:pPr>
        <w:jc w:val="center"/>
        <w:rPr>
          <w:rFonts w:ascii="仿宋_GB2312" w:hAnsi="华文中宋"/>
          <w:bCs/>
          <w:sz w:val="32"/>
          <w:szCs w:val="32"/>
        </w:rPr>
      </w:pPr>
      <w:r>
        <w:rPr>
          <w:rFonts w:hint="eastAsia" w:ascii="仿宋_GB2312"/>
          <w:bCs/>
          <w:sz w:val="32"/>
          <w:szCs w:val="32"/>
        </w:rPr>
        <w:t>（</w:t>
      </w:r>
      <w:r>
        <w:rPr>
          <w:rFonts w:hint="eastAsia" w:ascii="仿宋_GB2312"/>
          <w:bCs/>
          <w:sz w:val="32"/>
          <w:szCs w:val="32"/>
          <w:lang w:eastAsia="zh-CN"/>
        </w:rPr>
        <w:t>农村合作经济组织扶持资金</w:t>
      </w:r>
      <w:r>
        <w:rPr>
          <w:rFonts w:hint="eastAsia" w:ascii="仿宋_GB2312"/>
          <w:bCs/>
          <w:sz w:val="32"/>
          <w:szCs w:val="32"/>
        </w:rPr>
        <w:t>）</w:t>
      </w:r>
    </w:p>
    <w:p>
      <w:pPr>
        <w:jc w:val="center"/>
        <w:rPr>
          <w:rFonts w:ascii="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eastAsia="zh-CN"/>
        </w:rPr>
        <w:t>项目背景：为深入贯彻党的十九大和十九届三中、四中、五中、六中全会精神，以习近平新时代中国特色社会主义思想为指引，持续落实中发</w:t>
      </w:r>
      <w:r>
        <w:rPr>
          <w:rFonts w:hint="eastAsia" w:ascii="仿宋" w:hAnsi="仿宋" w:eastAsia="仿宋" w:cs="仿宋"/>
          <w:sz w:val="32"/>
          <w:szCs w:val="32"/>
          <w:lang w:val="en-US" w:eastAsia="zh-CN"/>
        </w:rPr>
        <w:t>11号、豫发20号文件精神，成为服务农民生产生活的生力军，供销社要加大对农村合作经济组织的引领和投入。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政策目标及内容：一要提高站位，充分认识发展农村合作经济组织是实施乡村振兴战略的必然选择，是实现农业现代化的有效途径，是助农增收的重要举措，是统筹城乡经济发展的客观需要，具有十分重要的意义。二要规范运作，要把牢政治方向，明确工作重点，强化自身建设，围绕“三农”工作大局，创造性地开展工作，真正做到履职到位、运作有效、管理规范、创新发展。三要加强领导，积极推动农村合作经济组织健康发展。要加强对农村合作经济组织的领导，充分发挥各级供销社的领头作用，加大对农村合作经济组织的支持力度，为全市农村合作经济组织发展、实现乡村振兴作出新的更大的贡献。</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资金投入： 市级财政每年预算7万元专项资金，用于对三门峡市供销系统合作经济组织的指导规范。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仿宋" w:hAnsi="仿宋" w:eastAsia="仿宋" w:cs="仿宋"/>
          <w:sz w:val="22"/>
          <w:szCs w:val="22"/>
          <w:lang w:val="en-US" w:eastAsia="zh-CN"/>
        </w:rPr>
      </w:pPr>
      <w:r>
        <w:rPr>
          <w:rFonts w:hint="eastAsia" w:ascii="仿宋" w:hAnsi="仿宋" w:eastAsia="仿宋" w:cs="仿宋"/>
          <w:sz w:val="32"/>
          <w:szCs w:val="32"/>
          <w:lang w:val="en-US" w:eastAsia="zh-CN"/>
        </w:rPr>
        <w:t>资金使用情况：2021年组织人员到三门峡各县（市）区供销社对发展农村合作经济组织工作进行指导，共组织12次，专项资金列支7万元。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eastAsia="zh-CN"/>
        </w:rPr>
        <w:t>项目完成情况：农村合作经济组织得到进一步发展，新成立农民专业合作社</w:t>
      </w:r>
      <w:r>
        <w:rPr>
          <w:rFonts w:hint="eastAsia" w:ascii="仿宋" w:hAnsi="仿宋" w:eastAsia="仿宋" w:cs="仿宋"/>
          <w:sz w:val="32"/>
          <w:szCs w:val="32"/>
          <w:lang w:val="en-US" w:eastAsia="zh-CN"/>
        </w:rPr>
        <w:t>12家，提高农民合作经济组织年销售收入60万元，提高毛利11万元。推动土地托管服务2000余亩，大大促进了农业向规模化方向发展，提高规模效益，引领绿色农业发展。</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二、绩效评价工作开展情况</w:t>
      </w:r>
    </w:p>
    <w:p>
      <w:pPr>
        <w:ind w:firstLine="640" w:firstLineChars="200"/>
        <w:rPr>
          <w:rFonts w:hint="eastAsia" w:ascii="仿宋_GB2312"/>
          <w:sz w:val="32"/>
          <w:szCs w:val="32"/>
        </w:rPr>
      </w:pPr>
      <w:r>
        <w:rPr>
          <w:rFonts w:hint="eastAsia" w:ascii="仿宋_GB2312"/>
          <w:sz w:val="32"/>
          <w:szCs w:val="32"/>
        </w:rPr>
        <w:t>（一）绩效评价目的、对象和范围</w:t>
      </w:r>
    </w:p>
    <w:p>
      <w:pPr>
        <w:ind w:firstLine="640" w:firstLineChars="200"/>
        <w:rPr>
          <w:rFonts w:hint="eastAsia" w:ascii="仿宋_GB2312"/>
          <w:sz w:val="32"/>
          <w:szCs w:val="32"/>
          <w:lang w:eastAsia="zh-CN"/>
        </w:rPr>
      </w:pPr>
      <w:r>
        <w:rPr>
          <w:rFonts w:hint="eastAsia" w:ascii="仿宋_GB2312"/>
          <w:sz w:val="32"/>
          <w:szCs w:val="32"/>
          <w:lang w:eastAsia="zh-CN"/>
        </w:rPr>
        <w:t>对农村合作经济组织扶持资金进行绩效评价，目的是提高项目资金的使用效能，规范项目运作。对象和范围为，市供销社有关业务科室加强对各县（市）区供销社及农村合作经济组织的规范、指导，注重服务效果。</w:t>
      </w:r>
    </w:p>
    <w:p>
      <w:pPr>
        <w:numPr>
          <w:ilvl w:val="0"/>
          <w:numId w:val="1"/>
        </w:numPr>
        <w:ind w:firstLine="640" w:firstLineChars="200"/>
        <w:rPr>
          <w:rFonts w:hint="eastAsia" w:ascii="仿宋_GB2312"/>
          <w:sz w:val="32"/>
          <w:szCs w:val="32"/>
        </w:rPr>
      </w:pPr>
      <w:r>
        <w:rPr>
          <w:rFonts w:hint="eastAsia" w:ascii="仿宋_GB2312"/>
          <w:sz w:val="32"/>
          <w:szCs w:val="32"/>
        </w:rPr>
        <w:t>绩效评价依据</w:t>
      </w:r>
    </w:p>
    <w:p>
      <w:pPr>
        <w:numPr>
          <w:ilvl w:val="0"/>
          <w:numId w:val="0"/>
        </w:numPr>
        <w:ind w:firstLine="640" w:firstLineChars="200"/>
        <w:rPr>
          <w:rFonts w:hint="eastAsia" w:ascii="仿宋_GB2312" w:eastAsia="仿宋_GB2312"/>
          <w:sz w:val="32"/>
          <w:szCs w:val="32"/>
          <w:lang w:eastAsia="zh-CN"/>
        </w:rPr>
      </w:pPr>
      <w:r>
        <w:rPr>
          <w:rFonts w:hint="eastAsia" w:ascii="仿宋_GB2312"/>
          <w:sz w:val="32"/>
          <w:szCs w:val="32"/>
          <w:lang w:eastAsia="zh-CN"/>
        </w:rPr>
        <w:t>绩效评价的依据为市财政局绩效评价有关文件。</w:t>
      </w:r>
    </w:p>
    <w:p>
      <w:pPr>
        <w:numPr>
          <w:ilvl w:val="0"/>
          <w:numId w:val="1"/>
        </w:numPr>
        <w:ind w:left="0" w:leftChars="0" w:firstLine="640" w:firstLineChars="200"/>
        <w:rPr>
          <w:rFonts w:hint="eastAsia" w:ascii="仿宋_GB2312"/>
          <w:sz w:val="32"/>
          <w:szCs w:val="32"/>
        </w:rPr>
      </w:pPr>
      <w:r>
        <w:rPr>
          <w:rFonts w:hint="eastAsia" w:ascii="仿宋_GB2312"/>
          <w:sz w:val="32"/>
          <w:szCs w:val="32"/>
        </w:rPr>
        <w:t>评价指标体系</w:t>
      </w:r>
    </w:p>
    <w:p>
      <w:pPr>
        <w:numPr>
          <w:ilvl w:val="0"/>
          <w:numId w:val="0"/>
        </w:numPr>
        <w:ind w:firstLine="640" w:firstLineChars="200"/>
        <w:rPr>
          <w:rFonts w:hint="eastAsia" w:ascii="仿宋_GB2312" w:eastAsia="仿宋_GB2312"/>
          <w:sz w:val="32"/>
          <w:szCs w:val="32"/>
          <w:lang w:eastAsia="zh-CN"/>
        </w:rPr>
      </w:pPr>
      <w:r>
        <w:rPr>
          <w:rFonts w:hint="eastAsia" w:ascii="仿宋_GB2312"/>
          <w:sz w:val="32"/>
          <w:szCs w:val="32"/>
          <w:lang w:eastAsia="zh-CN"/>
        </w:rPr>
        <w:t>评价指标体系分为产出指标、效益指标和满意度指标三大块。产出指标分为数量指标、质量指标、时效指标和成本指标。效益指标分经济效益、社会效益、生态效益和可持续影响指标。满意度指标为服务对象满意度指标。</w:t>
      </w:r>
    </w:p>
    <w:p>
      <w:pPr>
        <w:numPr>
          <w:ilvl w:val="0"/>
          <w:numId w:val="1"/>
        </w:numPr>
        <w:ind w:left="0" w:leftChars="0" w:firstLine="640" w:firstLineChars="200"/>
        <w:rPr>
          <w:rFonts w:ascii="仿宋_GB2312"/>
          <w:sz w:val="32"/>
          <w:szCs w:val="32"/>
        </w:rPr>
      </w:pPr>
      <w:r>
        <w:rPr>
          <w:rFonts w:hint="eastAsia" w:ascii="仿宋_GB2312"/>
          <w:sz w:val="32"/>
          <w:szCs w:val="32"/>
        </w:rPr>
        <w:t>评价方法及</w:t>
      </w:r>
      <w:r>
        <w:rPr>
          <w:rFonts w:ascii="仿宋_GB2312"/>
          <w:sz w:val="32"/>
          <w:szCs w:val="32"/>
        </w:rPr>
        <w:t>实施</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sz w:val="32"/>
          <w:szCs w:val="32"/>
          <w:lang w:eastAsia="zh-CN"/>
        </w:rPr>
        <w:t>评价由</w:t>
      </w:r>
      <w:r>
        <w:rPr>
          <w:rFonts w:hint="eastAsia" w:ascii="仿宋_GB2312" w:hAnsi="仿宋_GB2312" w:cs="仿宋_GB2312"/>
          <w:b w:val="0"/>
          <w:bCs/>
          <w:color w:val="000000"/>
          <w:sz w:val="30"/>
          <w:szCs w:val="30"/>
          <w:u w:val="none"/>
          <w:lang w:eastAsia="zh-CN"/>
        </w:rPr>
        <w:t>由市供销社财审科、办公室及相关业务科室共同负责。结合项目评价有关要求，加强督导，促进项目按程序有序实施。</w:t>
      </w:r>
    </w:p>
    <w:p>
      <w:pPr>
        <w:ind w:firstLine="640" w:firstLineChars="200"/>
        <w:rPr>
          <w:rFonts w:ascii="黑体" w:hAnsi="黑体" w:eastAsia="黑体" w:cs="黑体"/>
          <w:bCs/>
          <w:sz w:val="32"/>
          <w:szCs w:val="32"/>
        </w:rPr>
      </w:pPr>
      <w:r>
        <w:rPr>
          <w:rFonts w:hint="eastAsia" w:ascii="黑体" w:hAnsi="黑体" w:eastAsia="黑体" w:cs="黑体"/>
          <w:bCs/>
          <w:sz w:val="32"/>
          <w:szCs w:val="32"/>
        </w:rPr>
        <w:t>三、总体评价</w:t>
      </w:r>
      <w:r>
        <w:rPr>
          <w:rFonts w:ascii="黑体" w:hAnsi="黑体" w:eastAsia="黑体" w:cs="黑体"/>
          <w:bCs/>
          <w:sz w:val="32"/>
          <w:szCs w:val="32"/>
        </w:rPr>
        <w:t>结论和</w:t>
      </w:r>
      <w:r>
        <w:rPr>
          <w:rFonts w:hint="eastAsia" w:ascii="黑体" w:hAnsi="黑体" w:eastAsia="黑体" w:cs="黑体"/>
          <w:bCs/>
          <w:sz w:val="32"/>
          <w:szCs w:val="32"/>
        </w:rPr>
        <w:t>指标分析</w:t>
      </w:r>
    </w:p>
    <w:p>
      <w:pPr>
        <w:ind w:firstLine="640" w:firstLineChars="200"/>
        <w:outlineLvl w:val="0"/>
        <w:rPr>
          <w:rFonts w:ascii="仿宋_GB2312"/>
          <w:sz w:val="32"/>
          <w:szCs w:val="32"/>
        </w:rPr>
      </w:pPr>
      <w:r>
        <w:rPr>
          <w:rFonts w:hint="eastAsia" w:ascii="仿宋_GB2312"/>
          <w:sz w:val="32"/>
          <w:szCs w:val="32"/>
        </w:rPr>
        <w:t>（一）总体评价</w:t>
      </w:r>
      <w:r>
        <w:rPr>
          <w:rFonts w:ascii="仿宋_GB2312"/>
          <w:sz w:val="32"/>
          <w:szCs w:val="32"/>
        </w:rPr>
        <w:t>结论</w:t>
      </w:r>
    </w:p>
    <w:p>
      <w:pPr>
        <w:ind w:firstLine="640" w:firstLineChars="200"/>
        <w:outlineLvl w:val="0"/>
        <w:rPr>
          <w:rFonts w:hint="eastAsia" w:ascii="仿宋_GB2312" w:eastAsia="仿宋_GB2312"/>
          <w:sz w:val="32"/>
          <w:szCs w:val="32"/>
          <w:lang w:eastAsia="zh-CN"/>
        </w:rPr>
      </w:pPr>
      <w:r>
        <w:rPr>
          <w:rFonts w:hint="eastAsia" w:ascii="仿宋_GB2312"/>
          <w:sz w:val="32"/>
          <w:szCs w:val="32"/>
          <w:lang w:eastAsia="zh-CN"/>
        </w:rPr>
        <w:t>业务科室多次对各县（市）区供销社及农村合作经济组织进行指导，具有较好的经济效益和社会效益，得到基层供销社及农村合作经济组织的认可。</w:t>
      </w:r>
    </w:p>
    <w:p>
      <w:pPr>
        <w:numPr>
          <w:ilvl w:val="0"/>
          <w:numId w:val="2"/>
        </w:numPr>
        <w:ind w:firstLine="640" w:firstLineChars="200"/>
        <w:outlineLvl w:val="0"/>
        <w:rPr>
          <w:rFonts w:ascii="仿宋_GB2312"/>
          <w:sz w:val="32"/>
          <w:szCs w:val="32"/>
        </w:rPr>
      </w:pPr>
      <w:r>
        <w:rPr>
          <w:rFonts w:hint="eastAsia" w:ascii="仿宋_GB2312"/>
          <w:sz w:val="32"/>
          <w:szCs w:val="32"/>
        </w:rPr>
        <w:t>指标</w:t>
      </w:r>
      <w:r>
        <w:rPr>
          <w:rFonts w:ascii="仿宋_GB2312"/>
          <w:sz w:val="32"/>
          <w:szCs w:val="32"/>
        </w:rPr>
        <w:t>分析</w:t>
      </w:r>
    </w:p>
    <w:p>
      <w:pPr>
        <w:numPr>
          <w:ilvl w:val="0"/>
          <w:numId w:val="3"/>
        </w:numPr>
        <w:ind w:firstLine="640" w:firstLineChars="200"/>
        <w:outlineLvl w:val="0"/>
        <w:rPr>
          <w:rFonts w:hint="eastAsia" w:ascii="仿宋_GB2312"/>
          <w:sz w:val="32"/>
          <w:szCs w:val="32"/>
        </w:rPr>
      </w:pPr>
      <w:r>
        <w:rPr>
          <w:rFonts w:hint="eastAsia" w:ascii="仿宋_GB2312"/>
          <w:sz w:val="32"/>
          <w:szCs w:val="32"/>
        </w:rPr>
        <w:t>决策情况分析</w:t>
      </w:r>
    </w:p>
    <w:p>
      <w:pPr>
        <w:numPr>
          <w:ilvl w:val="0"/>
          <w:numId w:val="0"/>
        </w:numPr>
        <w:outlineLvl w:val="0"/>
        <w:rPr>
          <w:rFonts w:hint="default" w:ascii="仿宋_GB2312" w:eastAsia="仿宋_GB2312"/>
          <w:sz w:val="32"/>
          <w:szCs w:val="32"/>
          <w:lang w:val="en-US" w:eastAsia="zh-CN"/>
        </w:rPr>
      </w:pPr>
      <w:r>
        <w:rPr>
          <w:rFonts w:hint="eastAsia" w:ascii="仿宋_GB2312"/>
          <w:sz w:val="32"/>
          <w:szCs w:val="32"/>
          <w:lang w:val="en-US" w:eastAsia="zh-CN"/>
        </w:rPr>
        <w:t xml:space="preserve">    发展农村合作经济组织，是供销社为落实国家有关供销社改革文件精神和省供销合作总社有关工作部署，是供销社重要的工作任务之一，决策具有可行性。</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管理情况分析</w:t>
      </w:r>
    </w:p>
    <w:p>
      <w:pPr>
        <w:ind w:firstLine="640" w:firstLineChars="200"/>
        <w:outlineLvl w:val="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供销社对</w:t>
      </w:r>
      <w:r>
        <w:rPr>
          <w:rFonts w:hint="eastAsia" w:ascii="仿宋" w:hAnsi="仿宋" w:eastAsia="仿宋" w:cs="仿宋"/>
          <w:i w:val="0"/>
          <w:iCs w:val="0"/>
          <w:caps w:val="0"/>
          <w:color w:val="auto"/>
          <w:spacing w:val="0"/>
          <w:sz w:val="32"/>
          <w:szCs w:val="32"/>
          <w:shd w:val="clear" w:fill="FFFFFF"/>
        </w:rPr>
        <w:t>加强农村合作经济组织的领导，充分发挥各级供销社的领头作用，加大对农村合作经济组织的支持力度，为全市农村合作经济组织发展、实现乡村振兴作出</w:t>
      </w:r>
      <w:r>
        <w:rPr>
          <w:rFonts w:hint="eastAsia" w:ascii="仿宋" w:hAnsi="仿宋" w:eastAsia="仿宋" w:cs="仿宋"/>
          <w:i w:val="0"/>
          <w:iCs w:val="0"/>
          <w:caps w:val="0"/>
          <w:color w:val="auto"/>
          <w:spacing w:val="0"/>
          <w:sz w:val="32"/>
          <w:szCs w:val="32"/>
          <w:shd w:val="clear" w:fill="FFFFFF"/>
          <w:lang w:eastAsia="zh-CN"/>
        </w:rPr>
        <w:t>负有重大责任。供销社有力的开展的这项工作并取得实质性效果。</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产出情况分析</w:t>
      </w:r>
    </w:p>
    <w:p>
      <w:pPr>
        <w:numPr>
          <w:ilvl w:val="0"/>
          <w:numId w:val="0"/>
        </w:numPr>
        <w:ind w:firstLine="640" w:firstLineChars="200"/>
        <w:outlineLvl w:val="0"/>
        <w:rPr>
          <w:rFonts w:hint="default" w:ascii="仿宋_GB2312" w:eastAsia="仿宋_GB2312"/>
          <w:sz w:val="32"/>
          <w:szCs w:val="32"/>
          <w:lang w:val="en-US" w:eastAsia="zh-CN"/>
        </w:rPr>
      </w:pPr>
      <w:r>
        <w:rPr>
          <w:rFonts w:hint="eastAsia" w:ascii="仿宋_GB2312"/>
          <w:sz w:val="32"/>
          <w:szCs w:val="32"/>
          <w:lang w:val="en-US" w:eastAsia="zh-CN"/>
        </w:rPr>
        <w:t>2021年对供销社系统合作经济组织进行专项指导12次，大大提高了合作经济组织的规范化程度。并在2021年如期完成任务，成本控制在了7万元，没有超支。</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效果情况分析</w:t>
      </w:r>
    </w:p>
    <w:p>
      <w:pPr>
        <w:numPr>
          <w:ilvl w:val="0"/>
          <w:numId w:val="0"/>
        </w:numPr>
        <w:ind w:firstLine="640" w:firstLineChars="200"/>
        <w:outlineLvl w:val="0"/>
        <w:rPr>
          <w:rFonts w:hint="eastAsia" w:ascii="仿宋_GB2312"/>
          <w:sz w:val="32"/>
          <w:szCs w:val="32"/>
        </w:rPr>
      </w:pPr>
      <w:r>
        <w:rPr>
          <w:rFonts w:hint="eastAsia" w:ascii="仿宋_GB2312"/>
          <w:sz w:val="32"/>
          <w:szCs w:val="32"/>
          <w:lang w:eastAsia="zh-CN"/>
        </w:rPr>
        <w:t>促进了农村合作经济组织增加销售</w:t>
      </w:r>
      <w:r>
        <w:rPr>
          <w:rFonts w:hint="eastAsia" w:ascii="仿宋_GB2312"/>
          <w:sz w:val="32"/>
          <w:szCs w:val="32"/>
          <w:lang w:val="en-US" w:eastAsia="zh-CN"/>
        </w:rPr>
        <w:t>60万元，增加毛利润11万元，促进了农村合作经济组织的持续规范动作，促进了绿色农业的发展，促进了农业规模化发展的进程。</w:t>
      </w:r>
    </w:p>
    <w:p>
      <w:pPr>
        <w:numPr>
          <w:ilvl w:val="0"/>
          <w:numId w:val="4"/>
        </w:numPr>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存在的问题和建议</w:t>
      </w:r>
    </w:p>
    <w:p>
      <w:pPr>
        <w:numPr>
          <w:ilvl w:val="0"/>
          <w:numId w:val="0"/>
        </w:numPr>
        <w:rPr>
          <w:rFonts w:hint="eastAsia" w:ascii="仿宋" w:hAnsi="仿宋" w:eastAsia="仿宋" w:cs="仿宋"/>
          <w:bCs/>
          <w:sz w:val="32"/>
          <w:szCs w:val="32"/>
          <w:lang w:val="en-US" w:eastAsia="zh-CN"/>
        </w:rPr>
      </w:pPr>
      <w:r>
        <w:rPr>
          <w:rFonts w:hint="eastAsia" w:ascii="黑体" w:hAnsi="黑体" w:eastAsia="黑体" w:cs="黑体"/>
          <w:bCs/>
          <w:sz w:val="32"/>
          <w:szCs w:val="32"/>
          <w:lang w:val="en-US" w:eastAsia="zh-CN"/>
        </w:rPr>
        <w:t xml:space="preserve">    </w:t>
      </w:r>
      <w:r>
        <w:rPr>
          <w:rFonts w:hint="eastAsia" w:ascii="仿宋" w:hAnsi="仿宋" w:eastAsia="仿宋" w:cs="仿宋"/>
          <w:bCs/>
          <w:sz w:val="32"/>
          <w:szCs w:val="32"/>
          <w:lang w:val="en-US" w:eastAsia="zh-CN"/>
        </w:rPr>
        <w:t>无</w:t>
      </w:r>
    </w:p>
    <w:p>
      <w:pPr>
        <w:numPr>
          <w:ilvl w:val="0"/>
          <w:numId w:val="4"/>
        </w:numPr>
        <w:ind w:left="0" w:leftChars="0" w:firstLine="640" w:firstLineChars="200"/>
        <w:rPr>
          <w:rFonts w:hint="eastAsia" w:ascii="黑体" w:hAnsi="黑体" w:eastAsia="黑体" w:cs="黑体"/>
          <w:bCs/>
          <w:sz w:val="32"/>
          <w:szCs w:val="32"/>
        </w:rPr>
      </w:pPr>
      <w:r>
        <w:rPr>
          <w:rFonts w:hint="eastAsia" w:ascii="黑体" w:hAnsi="黑体" w:eastAsia="黑体" w:cs="黑体"/>
          <w:bCs/>
          <w:sz w:val="32"/>
          <w:szCs w:val="32"/>
        </w:rPr>
        <w:t>其他需要说明的问题</w:t>
      </w:r>
    </w:p>
    <w:p>
      <w:pPr>
        <w:numPr>
          <w:ilvl w:val="0"/>
          <w:numId w:val="0"/>
        </w:numPr>
        <w:ind w:leftChars="200"/>
        <w:rPr>
          <w:rFonts w:hint="eastAsia" w:ascii="黑体" w:hAnsi="黑体" w:eastAsia="黑体" w:cs="黑体"/>
          <w:bCs/>
          <w:sz w:val="32"/>
          <w:szCs w:val="32"/>
          <w:lang w:eastAsia="zh-CN"/>
        </w:rPr>
      </w:pPr>
      <w:r>
        <w:rPr>
          <w:rFonts w:hint="eastAsia" w:ascii="仿宋" w:hAnsi="仿宋" w:eastAsia="仿宋" w:cs="仿宋"/>
          <w:bCs/>
          <w:sz w:val="32"/>
          <w:szCs w:val="32"/>
          <w:lang w:eastAsia="zh-CN"/>
        </w:rPr>
        <w:t>无</w:t>
      </w:r>
    </w:p>
    <w:sectPr>
      <w:pgSz w:w="11906" w:h="16838"/>
      <w:pgMar w:top="1418" w:right="1797" w:bottom="107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863F0"/>
    <w:multiLevelType w:val="singleLevel"/>
    <w:tmpl w:val="97F863F0"/>
    <w:lvl w:ilvl="0" w:tentative="0">
      <w:start w:val="1"/>
      <w:numFmt w:val="decimal"/>
      <w:lvlText w:val="%1."/>
      <w:lvlJc w:val="left"/>
      <w:pPr>
        <w:tabs>
          <w:tab w:val="left" w:pos="312"/>
        </w:tabs>
      </w:pPr>
    </w:lvl>
  </w:abstractNum>
  <w:abstractNum w:abstractNumId="1">
    <w:nsid w:val="A661DA18"/>
    <w:multiLevelType w:val="singleLevel"/>
    <w:tmpl w:val="A661DA18"/>
    <w:lvl w:ilvl="0" w:tentative="0">
      <w:start w:val="2"/>
      <w:numFmt w:val="chineseCounting"/>
      <w:suff w:val="nothing"/>
      <w:lvlText w:val="（%1）"/>
      <w:lvlJc w:val="left"/>
      <w:rPr>
        <w:rFonts w:hint="eastAsia"/>
      </w:rPr>
    </w:lvl>
  </w:abstractNum>
  <w:abstractNum w:abstractNumId="2">
    <w:nsid w:val="5C1C6586"/>
    <w:multiLevelType w:val="singleLevel"/>
    <w:tmpl w:val="5C1C6586"/>
    <w:lvl w:ilvl="0" w:tentative="0">
      <w:start w:val="4"/>
      <w:numFmt w:val="chineseCounting"/>
      <w:suff w:val="nothing"/>
      <w:lvlText w:val="%1、"/>
      <w:lvlJc w:val="left"/>
      <w:rPr>
        <w:rFonts w:hint="eastAsia"/>
      </w:rPr>
    </w:lvl>
  </w:abstractNum>
  <w:abstractNum w:abstractNumId="3">
    <w:nsid w:val="740E8B5F"/>
    <w:multiLevelType w:val="singleLevel"/>
    <w:tmpl w:val="740E8B5F"/>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iNDRkNjM2M2MyYWNmMzBkNDNhMDFjZDU3YTVlYmUifQ=="/>
  </w:docVars>
  <w:rsids>
    <w:rsidRoot w:val="00F57F82"/>
    <w:rsid w:val="000101E1"/>
    <w:rsid w:val="00040106"/>
    <w:rsid w:val="000B7669"/>
    <w:rsid w:val="000F634F"/>
    <w:rsid w:val="000F6BDF"/>
    <w:rsid w:val="00103D16"/>
    <w:rsid w:val="00261E61"/>
    <w:rsid w:val="00293B12"/>
    <w:rsid w:val="003375EE"/>
    <w:rsid w:val="003A3A5F"/>
    <w:rsid w:val="005154E8"/>
    <w:rsid w:val="005B25F9"/>
    <w:rsid w:val="00613CDB"/>
    <w:rsid w:val="0073678B"/>
    <w:rsid w:val="00781435"/>
    <w:rsid w:val="00847870"/>
    <w:rsid w:val="00863E10"/>
    <w:rsid w:val="008A6189"/>
    <w:rsid w:val="009423BB"/>
    <w:rsid w:val="009C2225"/>
    <w:rsid w:val="00A13338"/>
    <w:rsid w:val="00A7654D"/>
    <w:rsid w:val="00A8522E"/>
    <w:rsid w:val="00AD103D"/>
    <w:rsid w:val="00B64F9E"/>
    <w:rsid w:val="00C74617"/>
    <w:rsid w:val="00DD6D9F"/>
    <w:rsid w:val="00E87F65"/>
    <w:rsid w:val="00E95F83"/>
    <w:rsid w:val="00EE6A65"/>
    <w:rsid w:val="00F43C23"/>
    <w:rsid w:val="00F57F82"/>
    <w:rsid w:val="00F66667"/>
    <w:rsid w:val="00FC3462"/>
    <w:rsid w:val="042B079F"/>
    <w:rsid w:val="04A3572A"/>
    <w:rsid w:val="0E7B4B63"/>
    <w:rsid w:val="0FE07278"/>
    <w:rsid w:val="161F0F1A"/>
    <w:rsid w:val="1668403F"/>
    <w:rsid w:val="185F1F56"/>
    <w:rsid w:val="19E40780"/>
    <w:rsid w:val="1A3C6C4F"/>
    <w:rsid w:val="1D8048F0"/>
    <w:rsid w:val="2C2935DB"/>
    <w:rsid w:val="2E670A0C"/>
    <w:rsid w:val="332B6989"/>
    <w:rsid w:val="44AA4912"/>
    <w:rsid w:val="4A3809DD"/>
    <w:rsid w:val="4BA014AA"/>
    <w:rsid w:val="51971756"/>
    <w:rsid w:val="65292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rFonts w:eastAsia="仿宋_GB2312"/>
      <w:kern w:val="2"/>
      <w:sz w:val="18"/>
      <w:szCs w:val="18"/>
    </w:rPr>
  </w:style>
  <w:style w:type="character" w:customStyle="1" w:styleId="8">
    <w:name w:val="页脚 Char"/>
    <w:link w:val="3"/>
    <w:qFormat/>
    <w:uiPriority w:val="0"/>
    <w:rPr>
      <w:rFonts w:eastAsia="仿宋_GB2312"/>
      <w:kern w:val="2"/>
      <w:sz w:val="18"/>
      <w:szCs w:val="18"/>
    </w:rPr>
  </w:style>
  <w:style w:type="character" w:customStyle="1" w:styleId="9">
    <w:name w:val="批注框文本 Char"/>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1379</Words>
  <Characters>1400</Characters>
  <Lines>1</Lines>
  <Paragraphs>1</Paragraphs>
  <TotalTime>40</TotalTime>
  <ScaleCrop>false</ScaleCrop>
  <LinksUpToDate>false</LinksUpToDate>
  <CharactersWithSpaces>1409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2011-03-02T00:16:00Z</dcterms:created>
  <dc:creator>lhn</dc:creator>
  <cp:lastModifiedBy>玺宝</cp:lastModifiedBy>
  <cp:lastPrinted>2022-05-23T07:57:52Z</cp:lastPrinted>
  <dcterms:modified xsi:type="dcterms:W3CDTF">2022-05-23T08:01:09Z</dcterms:modified>
  <dc:title>财政支出绩效评价报告</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E9EF642AA7AB440D97E5DDEC02CCDE9D</vt:lpwstr>
  </property>
</Properties>
</file>