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rPr>
          <w:rFonts w:hint="eastAsia" w:ascii="方正大黑简体" w:hAnsi="方正大黑简体" w:eastAsia="方正大黑简体" w:cs="方正大黑简体"/>
          <w:spacing w:val="34"/>
          <w:sz w:val="28"/>
        </w:rPr>
      </w:pPr>
      <w:bookmarkStart w:id="0" w:name="_Toc446057888"/>
      <w:r>
        <w:rPr>
          <w:rFonts w:hint="eastAsia" w:ascii="方正大黑简体" w:hAnsi="方正大黑简体" w:eastAsia="方正大黑简体" w:cs="方正大黑简体"/>
          <w:spacing w:val="79"/>
          <w:sz w:val="28"/>
        </w:rPr>
        <w:t>三门峡市</w:t>
      </w:r>
      <w:r>
        <w:rPr>
          <w:rFonts w:hint="eastAsia" w:ascii="方正大黑简体" w:hAnsi="方正大黑简体" w:eastAsia="方正大黑简体" w:cs="方正大黑简体"/>
          <w:spacing w:val="79"/>
          <w:sz w:val="28"/>
          <w:lang w:val="en-US" w:eastAsia="zh-CN"/>
        </w:rPr>
        <w:t>八</w:t>
      </w:r>
      <w:r>
        <w:rPr>
          <w:rFonts w:hint="eastAsia" w:ascii="方正大黑简体" w:hAnsi="方正大黑简体" w:eastAsia="方正大黑简体" w:cs="方正大黑简体"/>
          <w:spacing w:val="79"/>
          <w:sz w:val="28"/>
        </w:rPr>
        <w:t>届人大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baseline"/>
        <w:rPr>
          <w:rFonts w:hint="eastAsia" w:ascii="方正大黑简体" w:hAnsi="方正大黑简体" w:eastAsia="方正大黑简体" w:cs="方正大黑简体"/>
          <w:spacing w:val="0"/>
          <w:sz w:val="28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pacing w:val="0"/>
          <w:sz w:val="28"/>
          <w:lang w:val="en-US" w:eastAsia="zh-CN"/>
        </w:rPr>
        <w:t>一</w:t>
      </w:r>
      <w:r>
        <w:rPr>
          <w:rFonts w:hint="eastAsia" w:ascii="方正大黑简体" w:hAnsi="方正大黑简体" w:eastAsia="方正大黑简体" w:cs="方正大黑简体"/>
          <w:spacing w:val="0"/>
          <w:sz w:val="28"/>
        </w:rPr>
        <w:t>次会议文件</w:t>
      </w:r>
      <w:r>
        <w:rPr>
          <w:rFonts w:hint="eastAsia" w:ascii="方正大黑简体" w:hAnsi="方正大黑简体" w:eastAsia="方正大黑简体" w:cs="方正大黑简体"/>
          <w:spacing w:val="0"/>
          <w:sz w:val="28"/>
          <w:lang w:eastAsia="zh-CN"/>
        </w:rPr>
        <w:t>（</w:t>
      </w:r>
      <w:r>
        <w:rPr>
          <w:rFonts w:hint="eastAsia" w:ascii="方正大黑简体" w:hAnsi="方正大黑简体" w:eastAsia="方正大黑简体" w:cs="方正大黑简体"/>
          <w:spacing w:val="0"/>
          <w:sz w:val="28"/>
          <w:lang w:val="en-US" w:eastAsia="zh-CN"/>
        </w:rPr>
        <w:t>15</w:t>
      </w:r>
      <w:bookmarkStart w:id="8" w:name="_GoBack"/>
      <w:bookmarkEnd w:id="8"/>
      <w:r>
        <w:rPr>
          <w:rFonts w:hint="eastAsia" w:ascii="方正大黑简体" w:hAnsi="方正大黑简体" w:eastAsia="方正大黑简体" w:cs="方正大黑简体"/>
          <w:spacing w:val="0"/>
          <w:sz w:val="28"/>
          <w:lang w:val="en-US" w:eastAsia="zh-CN"/>
        </w:rPr>
        <w:t>）附件1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spacing w:line="900" w:lineRule="exact"/>
        <w:jc w:val="center"/>
        <w:rPr>
          <w:rFonts w:hint="default" w:ascii="Times New Roman" w:hAnsi="Times New Roman" w:eastAsia="方正大标宋简体" w:cs="Times New Roman"/>
          <w:color w:val="000000"/>
          <w:spacing w:val="-6"/>
          <w:kern w:val="0"/>
          <w:sz w:val="48"/>
          <w:szCs w:val="48"/>
        </w:rPr>
      </w:pPr>
      <w:r>
        <w:rPr>
          <w:rFonts w:hint="default" w:ascii="Times New Roman" w:hAnsi="Times New Roman" w:eastAsia="方正大标宋简体" w:cs="Times New Roman"/>
          <w:color w:val="000000"/>
          <w:spacing w:val="-6"/>
          <w:kern w:val="0"/>
          <w:sz w:val="48"/>
          <w:szCs w:val="48"/>
        </w:rPr>
        <w:t>三门峡市202</w:t>
      </w:r>
      <w:r>
        <w:rPr>
          <w:rFonts w:hint="default" w:ascii="Times New Roman" w:hAnsi="Times New Roman" w:eastAsia="方正大标宋简体" w:cs="Times New Roman"/>
          <w:color w:val="000000"/>
          <w:spacing w:val="-6"/>
          <w:kern w:val="0"/>
          <w:sz w:val="48"/>
          <w:szCs w:val="48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6"/>
          <w:kern w:val="0"/>
          <w:sz w:val="48"/>
          <w:szCs w:val="48"/>
        </w:rPr>
        <w:t>年全市财政预算执行情况</w:t>
      </w:r>
    </w:p>
    <w:p>
      <w:pPr>
        <w:spacing w:line="700" w:lineRule="exact"/>
        <w:rPr>
          <w:rFonts w:hint="default" w:ascii="Times New Roman" w:hAnsi="Times New Roman" w:eastAsia="方正大标宋简体" w:cs="Times New Roman"/>
          <w:color w:val="000000"/>
          <w:kern w:val="0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>
      <w:pPr>
        <w:pStyle w:val="4"/>
        <w:rPr>
          <w:rFonts w:hint="default" w:ascii="Times New Roman" w:hAnsi="Times New Roman" w:eastAsia="楷体_GB2312" w:cs="Times New Roman"/>
          <w:b/>
          <w:bCs w:val="0"/>
          <w:color w:val="000000" w:themeColor="text1"/>
          <w:spacing w:val="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二O二</w:t>
      </w:r>
      <w:r>
        <w:rPr>
          <w:rFonts w:hint="eastAsia" w:eastAsia="楷体_GB2312" w:cs="Times New Roman"/>
          <w:b/>
          <w:bCs w:val="0"/>
          <w:color w:val="000000" w:themeColor="text1"/>
          <w:spacing w:val="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 w:cs="Times New Roman"/>
          <w:b/>
          <w:bCs w:val="0"/>
          <w:color w:val="000000" w:themeColor="text1"/>
          <w:spacing w:val="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pacing w:val="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hint="default" w:ascii="Times New Roman" w:hAnsi="Times New Roman" w:eastAsia="楷体_GB2312" w:cs="Times New Roman"/>
          <w:b/>
          <w:bCs w:val="0"/>
          <w:color w:val="000000"/>
          <w:spacing w:val="2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306705</wp:posOffset>
                </wp:positionV>
                <wp:extent cx="729615" cy="530225"/>
                <wp:effectExtent l="0" t="0" r="13335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53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7pt;margin-top:24.15pt;height:41.75pt;width:57.45pt;z-index:251661312;mso-width-relative:page;mso-height-relative:page;" fillcolor="#FFFFFF [3201]" filled="t" stroked="f" coordsize="21600,21600" o:gfxdata="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9AdefVAAAACgEAAA8AAAAA&#10;AAAAAQAgAAAAIgAAAGRycy9kb3ducmV2LnhtbFBLAQIUABQAAAAIAIdO4kBpysbDUAIAAI4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pacing w:val="20"/>
          <w:sz w:val="36"/>
          <w:szCs w:val="36"/>
          <w:lang w:eastAsia="zh-CN"/>
        </w:rPr>
        <w:br w:type="page"/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8209915</wp:posOffset>
                </wp:positionV>
                <wp:extent cx="729615" cy="530225"/>
                <wp:effectExtent l="0" t="0" r="13335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905" y="9342120"/>
                          <a:ext cx="729615" cy="53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95pt;margin-top:646.45pt;height:41.75pt;width:57.45pt;z-index:251659264;mso-width-relative:page;mso-height-relative:page;" fillcolor="#FFFFFF [3201]" filled="t" stroked="f" coordsize="21600,21600" o:gfxdata="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ctiv3X&#10;AAAADAEAAA8AAAAAAAAAAQAgAAAAIgAAAGRycy9kb3ducmV2LnhtbFBLAQIUABQAAAAIAIdO4kDB&#10;8LfvWgIAAJk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pacing w:val="20"/>
          <w:sz w:val="36"/>
          <w:szCs w:val="36"/>
          <w:lang w:eastAsia="zh-CN"/>
        </w:rPr>
        <w:br w:type="page"/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985" w:right="1644" w:bottom="1985" w:left="1644" w:header="851" w:footer="1531" w:gutter="0"/>
          <w:pgNumType w:fmt="decimal" w:start="25"/>
          <w:cols w:space="720" w:num="1"/>
          <w:docGrid w:type="lines" w:linePitch="312" w:charSpace="0"/>
        </w:sectPr>
      </w:pPr>
    </w:p>
    <w:p>
      <w:pPr>
        <w:ind w:right="23" w:rightChars="11"/>
        <w:jc w:val="center"/>
        <w:rPr>
          <w:rFonts w:hint="default" w:ascii="Times New Roman" w:hAnsi="Times New Roman" w:eastAsia="方正大标宋简体" w:cs="Times New Roman"/>
          <w:bCs/>
          <w:color w:val="000000"/>
          <w:spacing w:val="20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bCs/>
          <w:color w:val="000000"/>
          <w:spacing w:val="20"/>
          <w:sz w:val="40"/>
          <w:szCs w:val="40"/>
        </w:rPr>
        <w:t>目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/>
        <w:jc w:val="center"/>
        <w:textAlignment w:val="auto"/>
        <w:rPr>
          <w:rFonts w:hint="default" w:ascii="Times New Roman" w:hAnsi="Times New Roman" w:eastAsia="方正大标宋简体" w:cs="Times New Roman"/>
          <w:bCs/>
          <w:color w:val="000000"/>
          <w:spacing w:val="2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1．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全市一般公共预算收入执行情况表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15-29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>全市一般公共预算收入执行情况的说明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15-3</w:t>
      </w:r>
      <w:r>
        <w:rPr>
          <w:rFonts w:hint="eastAsia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2．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全市一般公共预算支出执行情况表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15-3</w:t>
      </w:r>
      <w:r>
        <w:rPr>
          <w:rFonts w:hint="eastAsia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59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全市一般公共预算支出执行情况的说明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15-3</w:t>
      </w:r>
      <w:r>
        <w:rPr>
          <w:rFonts w:hint="eastAsia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3．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市级一般公共预算收入执行情况表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15-3</w:t>
      </w:r>
      <w:r>
        <w:rPr>
          <w:rFonts w:hint="eastAsia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77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11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000000"/>
          <w:spacing w:val="-11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000000"/>
          <w:spacing w:val="-11"/>
          <w:sz w:val="34"/>
          <w:szCs w:val="34"/>
        </w:rPr>
        <w:t>市级一般公共预算收入执行情况的说明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11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11"/>
          <w:sz w:val="34"/>
          <w:szCs w:val="34"/>
          <w:lang w:val="en-US" w:eastAsia="zh-CN"/>
        </w:rPr>
        <w:t>15-3</w:t>
      </w:r>
      <w:r>
        <w:rPr>
          <w:rFonts w:hint="eastAsia" w:eastAsia="仿宋_GB2312" w:cs="Times New Roman"/>
          <w:bCs/>
          <w:color w:val="000000"/>
          <w:spacing w:val="-11"/>
          <w:sz w:val="34"/>
          <w:szCs w:val="34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4．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市级一般公共预算支出执行情况表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</w:t>
      </w:r>
      <w:r>
        <w:rPr>
          <w:rFonts w:hint="eastAsia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40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59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市级一般公共预算支出执行情况的说明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15-4</w:t>
      </w:r>
      <w:r>
        <w:rPr>
          <w:rFonts w:hint="eastAsia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5．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收入执行情况表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</w:t>
      </w:r>
      <w:r>
        <w:rPr>
          <w:rFonts w:hint="eastAsia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44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于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收入执行情况的说明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15-4</w:t>
      </w:r>
      <w:r>
        <w:rPr>
          <w:rFonts w:hint="eastAsia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6．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支出执行情况表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15-4</w:t>
      </w:r>
      <w:r>
        <w:rPr>
          <w:rFonts w:hint="eastAsia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于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全市政府性基金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</w:rPr>
        <w:t>支出执行情况的说明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15-4</w:t>
      </w:r>
      <w:r>
        <w:rPr>
          <w:rFonts w:hint="eastAsia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7．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市级政府性基金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收入执行情况表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15-4</w:t>
      </w:r>
      <w:r>
        <w:rPr>
          <w:rFonts w:hint="eastAsia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于2022年市级政府性基金预算收入执行情况的说明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15-5</w:t>
      </w:r>
      <w:r>
        <w:rPr>
          <w:rFonts w:hint="eastAsia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8．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市级政府性基金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>支出执行情况表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4"/>
          <w:szCs w:val="34"/>
          <w:lang w:val="en-US" w:eastAsia="zh-CN"/>
        </w:rPr>
        <w:t>15-51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1" w:rightChars="10" w:firstLine="492" w:firstLineChars="1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</w:rPr>
        <w:t>关</w:t>
      </w:r>
      <w:r>
        <w:rPr>
          <w:rFonts w:hint="default" w:ascii="Times New Roman" w:hAnsi="Times New Roman" w:eastAsia="仿宋_GB2312" w:cs="Times New Roman"/>
          <w:bCs/>
          <w:color w:val="000000"/>
          <w:spacing w:val="-17"/>
          <w:sz w:val="34"/>
          <w:szCs w:val="34"/>
          <w:lang w:eastAsia="zh-CN"/>
        </w:rPr>
        <w:t>于2022年市级政府性基金预算支出执行情况的说明</w:t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000000"/>
          <w:spacing w:val="-6"/>
          <w:sz w:val="34"/>
          <w:szCs w:val="34"/>
          <w:lang w:val="en-US" w:eastAsia="zh-CN"/>
        </w:rPr>
        <w:t>15-52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9．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全市国有资本经营预算收支执行情况总表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15-53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492" w:firstLineChars="15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</w:rPr>
        <w:t>全市国有资本经营预算收支执行情况的说明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492" w:firstLineChars="15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15-54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市级国有资本经营预算收支执行情况总表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15-55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704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关于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4"/>
          <w:szCs w:val="34"/>
        </w:rPr>
        <w:t>市级国有资本经营预算收支执行情况的说明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  <w:t>15-56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全市社会保险基金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收支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eastAsia="zh-CN"/>
        </w:rPr>
        <w:t>执行情况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15-57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63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4"/>
          <w:szCs w:val="34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于2022年全市社会保险基金预算收支执行情况的说明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636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15-58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2022年市级社会保险基金预算收支执行情况总表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  <w:lang w:val="en-US" w:eastAsia="zh-CN"/>
        </w:rPr>
        <w:t>15-59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63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4"/>
          <w:szCs w:val="34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于2022年市级社会保险基金预算收支执行情况的说明</w:t>
      </w:r>
    </w:p>
    <w:p>
      <w:pPr>
        <w:keepNext w:val="0"/>
        <w:keepLines w:val="0"/>
        <w:pageBreakBefore w:val="0"/>
        <w:widowControl w:val="0"/>
        <w:tabs>
          <w:tab w:val="right" w:leader="do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 w:rightChars="11" w:firstLine="63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4"/>
          <w:szCs w:val="34"/>
          <w:lang w:val="en-US" w:eastAsia="zh-CN"/>
        </w:rPr>
        <w:t>15-60</w:t>
      </w:r>
    </w:p>
    <w:p>
      <w:pPr>
        <w:tabs>
          <w:tab w:val="right" w:leader="dot" w:pos="8610"/>
        </w:tabs>
        <w:spacing w:line="600" w:lineRule="exact"/>
        <w:ind w:right="23" w:rightChars="11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4"/>
          <w:szCs w:val="34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  <w:sectPr>
          <w:footerReference r:id="rId5" w:type="default"/>
          <w:pgSz w:w="11906" w:h="16838"/>
          <w:pgMar w:top="1985" w:right="1644" w:bottom="1985" w:left="1644" w:header="851" w:footer="1531" w:gutter="0"/>
          <w:pgNumType w:fmt="decimal" w:start="27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color w:val="000000"/>
          <w:spacing w:val="-11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-11"/>
          <w:sz w:val="36"/>
          <w:szCs w:val="36"/>
          <w:lang w:eastAsia="zh-CN"/>
        </w:rPr>
        <w:t>2022年</w:t>
      </w:r>
      <w:r>
        <w:rPr>
          <w:rFonts w:hint="eastAsia" w:ascii="黑体" w:hAnsi="黑体" w:eastAsia="黑体" w:cs="黑体"/>
          <w:color w:val="000000"/>
          <w:spacing w:val="-11"/>
          <w:sz w:val="36"/>
          <w:szCs w:val="36"/>
        </w:rPr>
        <w:t>全市一般公共预算收入执行情况表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单位：万元</w:t>
      </w:r>
    </w:p>
    <w:tbl>
      <w:tblPr>
        <w:tblStyle w:val="10"/>
        <w:tblW w:w="9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7"/>
        <w:gridCol w:w="1275"/>
        <w:gridCol w:w="1125"/>
        <w:gridCol w:w="1187"/>
        <w:gridCol w:w="103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Header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1,088,150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1,035,172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922,421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增值税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519,366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530,224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527,974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99.6%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74,002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59,575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61,194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102.7%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23,253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23,211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18,371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134,623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124,853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96,310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城市维护建设税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66,258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66,201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53,283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房产税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27,533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26,916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26,058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96.8%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印花税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17,522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17,623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18,734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106.3%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城镇土地使用税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26,279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25,133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26,707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106.3%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土地增值税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28,295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29,571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24,293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82.2%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车船税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12,433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12,189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10,572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86.7%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耕地占用税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17,322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8,326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2,942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35.3%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契税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122,160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92,781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38,449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41.4%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烟叶税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15,339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14,525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13,451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92.6%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环境保护税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3,755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4,034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3,992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其他税收收入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非税收入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405,250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374,428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467,935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125.0%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43,846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43,406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40,449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93.2%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54,432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50,977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62,209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122.0%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罚没收入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56,409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57,343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38,326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66.8%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8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70,380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65,216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61,856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94.8%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国有资源(资产)有偿使用收入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155,454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132,487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200,109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151.0%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590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2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政府住房基金收入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10,459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19,130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182.9%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14,070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13,950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45,818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328.4%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1,493,400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1,409,600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1,390,356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98.6%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0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备注：年初预算数为汇总的各级人代会批准的年初预算数。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  <w:t>年全市一般公共预算收入执行情况的说明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全市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各级人代会批准的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年一般公共预算收入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年初预算数为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1493400万元，年初预算数调整为14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09600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万元（以下简称预算数），实际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完成1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90356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扣除留抵退税因素后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完成14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31112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101.5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同口径增长0.2%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。其中：税收收入完成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22421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%，为上年决算数的10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扣除留抵退税因素后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完成9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63177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108.2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扣除留抵退税因素后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占一般公共预算收入的比重为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%；非税收入完成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67935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年全市一般公共预算收入主要项目执行情况是：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1、增值税完成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527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974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2、企业所得税完成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194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102.7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09.8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3、个人所得税完成1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371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79.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4、资源税完成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9631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77.1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92.3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5、城市维护建设税完成5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3283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96.3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6、房产税完成2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605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96.8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23.5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7、印花税完成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187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106.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8、城镇土地使用税完成2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707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9、土地增值税完成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2429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82.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107.3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10、车船税完成10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86.7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11、耕地占用税完成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2942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35.3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21.4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12、契税完成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38449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41.4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13、烟叶税完成1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345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92.6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87.6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14、环境保护税完成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399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154.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15、专项收入完成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449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16、行政事业性收费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62209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17、罚没收入完成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8326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66.8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74.2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18、国有资本经营收入完成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61856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4.8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100.5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19、国有资源（资产）有偿使用收入完成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200109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73.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20、政府性住房基金收入完成191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万元，为预算数的182.9%，上年决算数的114.2%。</w:t>
      </w:r>
    </w:p>
    <w:p>
      <w:pPr>
        <w:jc w:val="both"/>
        <w:rPr>
          <w:rFonts w:hint="default" w:ascii="Times New Roman" w:hAnsi="Times New Roman" w:eastAsia="黑体" w:cs="Times New Roman"/>
          <w:color w:val="FF0000"/>
          <w:spacing w:val="-11"/>
          <w:sz w:val="36"/>
          <w:szCs w:val="36"/>
          <w:lang w:eastAsia="zh-CN"/>
        </w:rPr>
      </w:pPr>
      <w:bookmarkStart w:id="1" w:name="_Toc446057890"/>
    </w:p>
    <w:p>
      <w:pPr>
        <w:jc w:val="both"/>
        <w:rPr>
          <w:rFonts w:hint="default" w:ascii="Times New Roman" w:hAnsi="Times New Roman" w:eastAsia="黑体" w:cs="Times New Roman"/>
          <w:color w:val="FF0000"/>
          <w:spacing w:val="-11"/>
          <w:sz w:val="36"/>
          <w:szCs w:val="36"/>
          <w:lang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color w:val="FF0000"/>
          <w:spacing w:val="-11"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FF0000"/>
          <w:spacing w:val="-11"/>
          <w:sz w:val="36"/>
          <w:szCs w:val="36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eastAsia="zh-CN"/>
        </w:rPr>
        <w:t>2022年</w:t>
      </w: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</w:rPr>
        <w:t>全市一般公共预算支出执行情况表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单位：万元</w:t>
      </w:r>
    </w:p>
    <w:tbl>
      <w:tblPr>
        <w:tblStyle w:val="10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4"/>
        <w:gridCol w:w="1241"/>
        <w:gridCol w:w="1336"/>
        <w:gridCol w:w="1038"/>
        <w:gridCol w:w="1104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426,631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483,982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474,750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98.1%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1,713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3,268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3,106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95.0%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公共安全支出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80,587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100,303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97,633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97.3%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395,335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468,916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457,879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97.7%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35,022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98,830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97,960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99.1%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文化旅游体育与传媒支出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26,017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34,156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32,071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93.9%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256,765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287,814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269,824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93.8%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228,950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358,276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343,213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95.8%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85,401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96,298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73,375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155,247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233,054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198,687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85.3%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284,549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312,410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311,665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99.8%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102,166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140,563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132,102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94.0%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资源勘探工业信息等支出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40,487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38,756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37,348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96.4%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6,327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8,608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7,273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84.5%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447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自然资源海洋气象等支出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19,637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43,799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30,776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70.3%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47,387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73,186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71,411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97.6%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粮油物资储备支出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15,181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17,767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14,945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84.1%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灾害防治及应急管理支出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11,837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20,894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18,365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87.9%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38,416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38,146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38,029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99.7%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47,174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46,553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45,731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98.2%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2,305,353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2,906,121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2,756,590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97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备注：1.年初预算数为汇总各级人代会批准的年初预算数。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2.调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整预算数为年初预算加中央、省追加，上年结转，政府债务收入等安排的支出。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1"/>
          <w:sz w:val="40"/>
          <w:szCs w:val="40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/>
        <w:textAlignment w:val="auto"/>
        <w:rPr>
          <w:rFonts w:hint="eastAsia" w:ascii="方正大标宋简体" w:hAnsi="方正大标宋简体" w:eastAsia="方正大标宋简体" w:cs="方正大标宋简体"/>
          <w:color w:val="000000"/>
          <w:spacing w:val="-11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-11"/>
          <w:sz w:val="40"/>
          <w:szCs w:val="40"/>
        </w:rPr>
        <w:t>关于202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-11"/>
          <w:sz w:val="40"/>
          <w:szCs w:val="40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-11"/>
          <w:sz w:val="40"/>
          <w:szCs w:val="40"/>
        </w:rPr>
        <w:t>年全市一般公共预算支出执行情况的说明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  <w:t>汇总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  <w:t>各级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人代会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  <w:t>批准的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一般公共预算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  <w:t>支出年初预算数为2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305353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调整后支出预算数为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906121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万元。全市一般公共预算支出完成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2756590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万元，为调整预算数（以下简称预算数）的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10.1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2022年全市一般公共预算支出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1、一般公共服务支出完成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474750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98.1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2、国防支出完成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3106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万元，为预算数的9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45.1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3、公共安全支出完成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97633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97.3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4、教育支出完成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457879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7.7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101.2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5、科学技术支出完成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97960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80.3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6、文化旅游体育与传媒支出完成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32071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93.9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81.4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7、社会保障和就业支出完成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9824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93.8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8、卫生健康支出完成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43213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95.8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22.8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9、节能环保支出完成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3375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76.2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10、城乡社区支出完成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198687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85.3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91.5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11、农林水支出完成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311665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100.8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12、交通运输支出完成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132102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84.5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13、资源勘探工业信息等支出完成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7348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94.9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14、商业服务业等支出完成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273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84.5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15、金融支出完成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447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82.5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16、自然资源海洋气象等支出完成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776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70.3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125.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17、住房保障支出完成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71411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万元，为预算数的9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18、粮油物资储备支出完成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14945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84.1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265.6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19、灾害防治及应急管理支出完成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8365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87.9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94.4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20、债务付息支出完成38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029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99.7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%，为上年决算数的10</w:t>
      </w:r>
      <w:r>
        <w:rPr>
          <w:rFonts w:hint="eastAsia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4"/>
          <w:szCs w:val="34"/>
          <w:lang w:val="en-US" w:eastAsia="zh-CN"/>
        </w:rPr>
        <w:br w:type="page"/>
      </w:r>
      <w:bookmarkStart w:id="2" w:name="_Toc446057892"/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2022年市级一般公共预算收入执行情况表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单位：万元</w:t>
      </w:r>
    </w:p>
    <w:tbl>
      <w:tblPr>
        <w:tblStyle w:val="10"/>
        <w:tblW w:w="8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8"/>
        <w:gridCol w:w="1697"/>
        <w:gridCol w:w="1402"/>
        <w:gridCol w:w="1401"/>
        <w:gridCol w:w="1054"/>
        <w:gridCol w:w="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为预算数%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42,473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46,848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12,163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15,400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6,245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9,500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3,700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3,579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2,223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8,000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3,974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房产税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2,504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印花税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919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106.9%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车船税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契税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27,400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8,846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环境保护税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1,423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863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53,000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135,955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256.5%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5,388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168.4%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13,000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28,114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216.3%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罚没收入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11,000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9,252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国有资本经营收入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10,000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国有资源(资产)有偿使用收入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6,491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39,341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606.1%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政府住房基金收入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18,389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9,309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35,471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381.0%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173,000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178,428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103.1%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9" w:type="dxa"/>
          <w:trHeight w:val="615" w:hRule="atLeast"/>
          <w:jc w:val="center"/>
        </w:trPr>
        <w:tc>
          <w:tcPr>
            <w:tcW w:w="8312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备注：年初预算数为市级人代会批准的年初预算数。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</w:tbl>
    <w:p>
      <w:pPr>
        <w:jc w:val="center"/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年市级一般公共预算收入执行情况的说明</w:t>
      </w:r>
      <w:bookmarkEnd w:id="2"/>
    </w:p>
    <w:p>
      <w:pPr>
        <w:spacing w:line="600" w:lineRule="exact"/>
        <w:ind w:firstLine="683" w:firstLineChars="200"/>
        <w:rPr>
          <w:rFonts w:hint="default" w:ascii="Times New Roman" w:hAnsi="Times New Roman" w:eastAsia="仿宋" w:cs="Times New Roman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年市级一般公共预算收入年初预算数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（以下简称预算数）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为17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000万元，实际完成1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78428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%，为上年决算数的10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同口径完成1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86477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万元，为预算数的1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07.8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09.6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。其中，税收收入完成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42473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35.4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58.1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同口径完成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50522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42.1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69.2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；非税收入完成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35955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56.5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2022年市级一般公共预算收入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1、增值税完成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12163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40.9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2、企业所得税完成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6245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40.6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76.5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3、个人所得税完成3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4、资源税完成2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5、城市维护建设税完成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3974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49.7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81.7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6、房产税完成2504万元，为预算数的45.5%，为上年决算数的354.2%。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7、印花税完成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919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106.9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123.2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8、城镇土地使用税完成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245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87.5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200.8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9、土地增值税完成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589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49.1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499.2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10、契税完成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8846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11、环境保护税完成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863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60.6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06.3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12、专项收入完成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388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68.4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13、行政事业性收费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28114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216.3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114.8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14、罚没收入完成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9252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、国有资源（资产）有偿使用收入完成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9341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606.1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34.9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、政府住房基金收入完成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1838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113.4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2022年市级一般公共预算支出执行情况表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单位：万元</w:t>
      </w:r>
    </w:p>
    <w:tbl>
      <w:tblPr>
        <w:tblStyle w:val="10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1264"/>
        <w:gridCol w:w="1352"/>
        <w:gridCol w:w="1174"/>
        <w:gridCol w:w="1411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446057894"/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33,942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63,567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63,567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684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公共安全支出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27,329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40,969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40,959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65,807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110,913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110,826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9,735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31,528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31,528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文化旅游体育与传媒支出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7,341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15,131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15,039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99.4%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34,703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78,891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78,345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99.3%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34,716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108,024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107,924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8,352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20,563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20,563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35,968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92,116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88,083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95.6%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44,557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27,757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27,753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55,396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85,348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78,036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91.4%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资源勘探工业信息等支出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749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5,200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5,200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3,341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3,341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371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371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自然资源海洋气象等支出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1,109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4,836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4,833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7,560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27,114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27,014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99.6%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粮油物资储备支出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1,222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1,500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灾害防治及应急管理支出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1,450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8,058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8,058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21,339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21,339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21,339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5,000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10,645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9,644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90.6%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397,415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757,895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744,606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98.2%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302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备注：1.年初预算数为汇总各级人代会批准的年初预算数。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2.调整预算数为年初预算加中央、省追加，上年结转，政府债务收入等安排的支出。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br w:type="page"/>
      </w:r>
    </w:p>
    <w:p>
      <w:pPr>
        <w:jc w:val="center"/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年市级一般公共预算支出执行情况的说明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3" w:firstLineChars="200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/>
        <w:autoSpaceDE w:val="0"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年市级一般公共预算支出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预算数为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397415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万元，调整后市级支出预算数为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757895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万元。一般公共预算支出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744606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万元，为调整预算数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以下简称预算数）的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37.2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/>
        <w:autoSpaceDE w:val="0"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2022年市级一般公共预算支出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bookmarkStart w:id="4" w:name="_Toc446057896"/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1、一般公共服务支出完成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63567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93.1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2、国防支出完成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99.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%,为上年决算数的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72.3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3、公共安全支出完成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40959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96.2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4、教育支出完成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110826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99.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107.6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5、科学技术支出完成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31528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677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Times New Roman" w:hAnsi="Times New Roman" w:eastAsia="仿宋" w:cs="Times New Roman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文化旅游体育与传媒支出完成1</w:t>
      </w:r>
      <w:r>
        <w:rPr>
          <w:rFonts w:hint="eastAsia" w:eastAsia="仿宋" w:cs="Times New Roman"/>
          <w:color w:val="000000" w:themeColor="text1"/>
          <w:spacing w:val="4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5039</w:t>
      </w:r>
      <w:r>
        <w:rPr>
          <w:rFonts w:hint="default" w:ascii="Times New Roman" w:hAnsi="Times New Roman" w:eastAsia="仿宋" w:cs="Times New Roman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9.4</w:t>
      </w:r>
      <w:r>
        <w:rPr>
          <w:rFonts w:hint="default" w:ascii="Times New Roman" w:hAnsi="Times New Roman" w:eastAsia="仿宋" w:cs="Times New Roman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5.2</w:t>
      </w:r>
      <w:r>
        <w:rPr>
          <w:rFonts w:hint="default" w:ascii="Times New Roman" w:hAnsi="Times New Roman" w:eastAsia="仿宋" w:cs="Times New Roman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" w:cs="Times New Roman"/>
          <w:color w:val="000000" w:themeColor="text1"/>
          <w:spacing w:val="4"/>
          <w:kern w:val="0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7、社会保障和就业支出完成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78345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99.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126.4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8、卫生健康支出完成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107924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99.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94.8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before="0" w:beforeAutospacing="0" w:after="0" w:afterAutospacing="0"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9、节能环保支出完成</w:t>
      </w:r>
      <w:r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20563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10、城乡社区支出完成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88083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95.6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11、农林水支出完成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7753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76.2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12、交通运输支出完成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78036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263.9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13、资源勘探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信息等支出完成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5200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83.2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14、商业服务业等支出完成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3341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50.1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15、金融支出完成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16、自然资源海洋气象等支出完成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833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93.8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17、住房保障支出完成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7014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18、粮油物资储备支出完成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1500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176.1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19、灾害防治及应急管理支出完成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8058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20、债务付息支出完成2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1339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万元，为预算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数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的100%，为上年决算数的10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ind w:firstLine="680" w:firstLineChars="200"/>
        <w:jc w:val="center"/>
        <w:textAlignment w:val="auto"/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default" w:ascii="Times New Roman" w:hAnsi="Times New Roman" w:eastAsia="仿宋" w:cs="Times New Roman"/>
          <w:sz w:val="34"/>
          <w:szCs w:val="34"/>
        </w:rPr>
        <w:br w:type="page"/>
      </w: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2022年全市政府性基金预算收入执行情况表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单位：万元</w:t>
      </w:r>
    </w:p>
    <w:tbl>
      <w:tblPr>
        <w:tblStyle w:val="10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9"/>
        <w:gridCol w:w="1463"/>
        <w:gridCol w:w="1163"/>
        <w:gridCol w:w="1369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 </w:t>
            </w:r>
            <w:r>
              <w:rPr>
                <w:rFonts w:hint="eastAsia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为预算数%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国有土地收益基金收入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7,121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7,267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102.1%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农业土地开发资金收入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2,312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3,097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134.0%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国有土地使用权出让收入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440,481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339,323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77.0%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城市基础设施配套费收入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16,920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5,158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30.5%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污水处理费收入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7,870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8,262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105.0%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其他政府性基金收入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专项债务对应项目专项收入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73,718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474,704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436,953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92.0%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9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备注：年初预算数为汇总各级人代会批准的年初预算数。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年全市政府性基金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收入执行情况的说明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3" w:firstLineChars="200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汇总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各级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人代会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批准的202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年政府性基金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预算数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（以下简称预算数）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474704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万元，实际完成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436953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64.5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4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2022年全市政府性基金预算</w:t>
      </w: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  <w:t>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、国有土地收益基金收入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7267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102.1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76.5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、农业土地开发资金收入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3097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134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106.3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、国有土地使用权出让收入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339323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52.7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、城市基础设施配套费收入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515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30.5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34.2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5、污水处理费收入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8262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56.3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pStyle w:val="4"/>
        <w:tabs>
          <w:tab w:val="left" w:pos="649"/>
        </w:tabs>
        <w:jc w:val="left"/>
        <w:rPr>
          <w:rFonts w:hint="default" w:ascii="Times New Roman" w:hAnsi="Times New Roman" w:eastAsia="仿宋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5" w:name="_Toc446057898"/>
      <w:r>
        <w:rPr>
          <w:rFonts w:hint="default" w:ascii="Times New Roman" w:hAnsi="Times New Roman" w:eastAsia="仿宋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  <w:t>6、专项债务对应项目专项收入完成</w:t>
      </w:r>
      <w:r>
        <w:rPr>
          <w:rFonts w:hint="eastAsia" w:eastAsia="仿宋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  <w:t>73718</w:t>
      </w:r>
      <w:r>
        <w:rPr>
          <w:rFonts w:hint="default" w:ascii="Times New Roman" w:hAnsi="Times New Roman" w:eastAsia="仿宋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  <w:t>万元。</w:t>
      </w:r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2022年全市政府性基金预算支出执行情况表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36" w:firstLineChars="200"/>
        <w:jc w:val="center"/>
        <w:textAlignment w:val="auto"/>
        <w:rPr>
          <w:rFonts w:hint="default" w:ascii="Times New Roman" w:hAnsi="Times New Roman" w:eastAsia="宋体" w:cs="Times New Roman"/>
          <w:color w:val="000000"/>
          <w:spacing w:val="-11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-11"/>
          <w:sz w:val="24"/>
          <w:szCs w:val="24"/>
          <w:lang w:val="en-US" w:eastAsia="zh-CN"/>
        </w:rPr>
        <w:t xml:space="preserve">                                                                         </w:t>
      </w:r>
      <w:r>
        <w:rPr>
          <w:rFonts w:hint="default" w:ascii="Times New Roman" w:hAnsi="Times New Roman" w:eastAsia="宋体" w:cs="Times New Roman"/>
          <w:color w:val="000000"/>
          <w:spacing w:val="-11"/>
          <w:sz w:val="24"/>
          <w:szCs w:val="24"/>
          <w:lang w:val="en-US" w:eastAsia="zh-CN"/>
        </w:rPr>
        <w:t>单位：万元</w:t>
      </w:r>
    </w:p>
    <w:tbl>
      <w:tblPr>
        <w:tblStyle w:val="10"/>
        <w:tblW w:w="9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1"/>
        <w:gridCol w:w="1418"/>
        <w:gridCol w:w="1290"/>
        <w:gridCol w:w="1034"/>
        <w:gridCol w:w="1055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501,202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652,974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390,809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国有土地使用权出让及对应专项债务收入安排的支出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301288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286,518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192,331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国有土地收益基金及专项债务收入安排的支出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1,952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农业土地开发资金及专项债务收入安排的支出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城市基础设施配套费及对应专项债务收入安排的支出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5,591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4,592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污水处理费及对应专项债务收入安排的支出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8,219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4,029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棚户区改造专项债券收入安排的支出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349,860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189,651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381215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175110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其他地方自行试点项目收益专项债券收入安排的支出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158,536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371,395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171,463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彩票公益金安排的支出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7,565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9,820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3,647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59,758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59,430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59,430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756,103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1,162,262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639,084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55.0%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9219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备注：1.年初预算数为汇总各级人代会批准的年初预算数。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2.调整预算数为年初预算加中央、省追加，上年结转，政府债务收入等安排的支出。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38"/>
          <w:szCs w:val="38"/>
        </w:rPr>
      </w:pPr>
    </w:p>
    <w:p>
      <w:pP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br w:type="page"/>
      </w:r>
    </w:p>
    <w:p>
      <w:pPr>
        <w:rPr>
          <w:rFonts w:hint="default" w:ascii="Times New Roman" w:hAnsi="Times New Roman" w:eastAsia="仿宋" w:cs="Times New Roman"/>
          <w:color w:val="000000"/>
          <w:sz w:val="38"/>
          <w:szCs w:val="38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年全市政府性基金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支出执行情况的说明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textAlignment w:val="auto"/>
        <w:rPr>
          <w:rFonts w:hint="default" w:ascii="Times New Roman" w:hAnsi="Times New Roman" w:eastAsia="仿宋" w:cs="Times New Roman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pacing w:val="-6"/>
          <w:sz w:val="34"/>
          <w:szCs w:val="34"/>
        </w:rPr>
      </w:pP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汇总全市各级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eastAsia="zh-CN"/>
        </w:rPr>
        <w:t>人代会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批准的202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年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eastAsia="zh-CN"/>
        </w:rPr>
        <w:t>政府性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基金预算支出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eastAsia="zh-CN"/>
        </w:rPr>
        <w:t>年初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预算数为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  <w:t>756103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万元，调整后全市支出预算数为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  <w:lang w:val="en-US" w:eastAsia="zh-CN"/>
        </w:rPr>
        <w:t>1</w:t>
      </w:r>
      <w:r>
        <w:rPr>
          <w:rFonts w:hint="eastAsia" w:eastAsia="仿宋" w:cs="Times New Roman"/>
          <w:spacing w:val="-6"/>
          <w:sz w:val="34"/>
          <w:szCs w:val="34"/>
          <w:lang w:val="en-US" w:eastAsia="zh-CN"/>
        </w:rPr>
        <w:t>162262</w:t>
      </w:r>
      <w:r>
        <w:rPr>
          <w:rFonts w:hint="default" w:ascii="Times New Roman" w:hAnsi="Times New Roman" w:eastAsia="仿宋" w:cs="Times New Roman"/>
          <w:color w:val="000000"/>
          <w:spacing w:val="-6"/>
          <w:sz w:val="34"/>
          <w:szCs w:val="34"/>
        </w:rPr>
        <w:t>万元。202</w:t>
      </w:r>
      <w:r>
        <w:rPr>
          <w:rFonts w:hint="default" w:ascii="Times New Roman" w:hAnsi="Times New Roman" w:eastAsia="仿宋" w:cs="Times New Roman"/>
          <w:color w:val="000000"/>
          <w:spacing w:val="-6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6"/>
          <w:sz w:val="34"/>
          <w:szCs w:val="34"/>
        </w:rPr>
        <w:t>年全市实际支出</w:t>
      </w:r>
      <w:r>
        <w:rPr>
          <w:rFonts w:hint="eastAsia" w:eastAsia="仿宋" w:cs="Times New Roman"/>
          <w:color w:val="000000"/>
          <w:spacing w:val="-6"/>
          <w:sz w:val="34"/>
          <w:szCs w:val="34"/>
          <w:lang w:val="en-US" w:eastAsia="zh-CN"/>
        </w:rPr>
        <w:t>639084</w:t>
      </w:r>
      <w:r>
        <w:rPr>
          <w:rFonts w:hint="default" w:ascii="Times New Roman" w:hAnsi="Times New Roman" w:eastAsia="仿宋" w:cs="Times New Roman"/>
          <w:color w:val="000000"/>
          <w:spacing w:val="-6"/>
          <w:sz w:val="34"/>
          <w:szCs w:val="34"/>
        </w:rPr>
        <w:t>万元，为调整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预算数（以下简称预算数）的</w:t>
      </w:r>
      <w:r>
        <w:rPr>
          <w:rFonts w:hint="eastAsia" w:eastAsia="仿宋" w:cs="Times New Roman"/>
          <w:spacing w:val="-6"/>
          <w:sz w:val="34"/>
          <w:szCs w:val="34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%，为上年决算数的</w:t>
      </w:r>
      <w:r>
        <w:rPr>
          <w:rFonts w:hint="eastAsia" w:eastAsia="仿宋" w:cs="Times New Roman"/>
          <w:spacing w:val="-6"/>
          <w:sz w:val="34"/>
          <w:szCs w:val="34"/>
          <w:lang w:val="en-US" w:eastAsia="zh-CN"/>
        </w:rPr>
        <w:t>86.7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724" w:firstLineChars="200"/>
        <w:textAlignment w:val="auto"/>
        <w:rPr>
          <w:rFonts w:hint="default" w:ascii="Times New Roman" w:hAnsi="Times New Roman" w:eastAsia="仿宋" w:cs="Times New Roman"/>
          <w:spacing w:val="11"/>
          <w:sz w:val="34"/>
          <w:szCs w:val="34"/>
        </w:rPr>
      </w:pPr>
      <w:r>
        <w:rPr>
          <w:rFonts w:hint="default" w:ascii="Times New Roman" w:hAnsi="Times New Roman" w:eastAsia="仿宋" w:cs="Times New Roman"/>
          <w:spacing w:val="11"/>
          <w:sz w:val="34"/>
          <w:szCs w:val="34"/>
          <w:lang w:val="en-US" w:eastAsia="zh-CN"/>
        </w:rPr>
        <w:t>2022年全市政府性基金预算</w:t>
      </w:r>
      <w:r>
        <w:rPr>
          <w:rFonts w:hint="default" w:ascii="Times New Roman" w:hAnsi="Times New Roman" w:eastAsia="仿宋" w:cs="Times New Roman"/>
          <w:spacing w:val="11"/>
          <w:sz w:val="34"/>
          <w:szCs w:val="34"/>
        </w:rPr>
        <w:t>支出主要项目执行情况是：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4"/>
          <w:szCs w:val="34"/>
        </w:rPr>
        <w:t>、国有土地使用权出让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收入及对应专项债务安排的</w:t>
      </w:r>
      <w:r>
        <w:rPr>
          <w:rFonts w:hint="default" w:ascii="Times New Roman" w:hAnsi="Times New Roman" w:eastAsia="仿宋" w:cs="Times New Roman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完成</w:t>
      </w:r>
      <w:r>
        <w:rPr>
          <w:rFonts w:hint="eastAsia" w:eastAsia="仿宋" w:cs="Times New Roman"/>
          <w:sz w:val="34"/>
          <w:szCs w:val="34"/>
          <w:lang w:val="en-US" w:eastAsia="zh-CN"/>
        </w:rPr>
        <w:t>192331</w:t>
      </w:r>
      <w:r>
        <w:rPr>
          <w:rFonts w:hint="default" w:ascii="Times New Roman" w:hAnsi="Times New Roman" w:eastAsia="仿宋" w:cs="Times New Roman"/>
          <w:sz w:val="34"/>
          <w:szCs w:val="34"/>
        </w:rPr>
        <w:t>万元，为预算数的</w:t>
      </w:r>
      <w:r>
        <w:rPr>
          <w:rFonts w:hint="eastAsia" w:eastAsia="仿宋" w:cs="Times New Roman"/>
          <w:sz w:val="34"/>
          <w:szCs w:val="34"/>
          <w:lang w:val="en-US" w:eastAsia="zh-CN"/>
        </w:rPr>
        <w:t>67.1</w:t>
      </w:r>
      <w:r>
        <w:rPr>
          <w:rFonts w:hint="default" w:ascii="Times New Roman" w:hAnsi="Times New Roman" w:eastAsia="仿宋" w:cs="Times New Roman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6</w:t>
      </w:r>
      <w:r>
        <w:rPr>
          <w:rFonts w:hint="eastAsia" w:eastAsia="仿宋" w:cs="Times New Roman"/>
          <w:sz w:val="34"/>
          <w:szCs w:val="34"/>
          <w:lang w:val="en-US" w:eastAsia="zh-CN"/>
        </w:rPr>
        <w:t>5.2</w:t>
      </w:r>
      <w:r>
        <w:rPr>
          <w:rFonts w:hint="default" w:ascii="Times New Roman" w:hAnsi="Times New Roman" w:eastAsia="仿宋" w:cs="Times New Roman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eastAsia" w:eastAsia="仿宋" w:cs="Times New Roman"/>
          <w:sz w:val="34"/>
          <w:szCs w:val="34"/>
          <w:lang w:val="en-US" w:eastAsia="zh-CN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2、国有土地收益基金安排的支出完成187万元，为预算数的9.6%，为上年决算数的18%。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3、农业土地开发资金安排的支出完成19万元，为预算数的2.3%。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pacing w:val="-6"/>
          <w:sz w:val="34"/>
          <w:szCs w:val="34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4"/>
          <w:szCs w:val="34"/>
        </w:rPr>
        <w:t>、城市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基础设施配套费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  <w:lang w:eastAsia="zh-CN"/>
        </w:rPr>
        <w:t>及对应专项债务收入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安排的支出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  <w:lang w:val="en-US" w:eastAsia="zh-CN"/>
        </w:rPr>
        <w:t>459</w:t>
      </w:r>
      <w:r>
        <w:rPr>
          <w:rFonts w:hint="eastAsia" w:eastAsia="仿宋" w:cs="Times New Roman"/>
          <w:spacing w:val="-6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万元，为预算数的</w:t>
      </w:r>
      <w:r>
        <w:rPr>
          <w:rFonts w:hint="eastAsia" w:eastAsia="仿宋" w:cs="Times New Roman"/>
          <w:spacing w:val="-6"/>
          <w:sz w:val="34"/>
          <w:szCs w:val="34"/>
          <w:lang w:val="en-US" w:eastAsia="zh-CN"/>
        </w:rPr>
        <w:t>82.1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  <w:lang w:val="en-US" w:eastAsia="zh-CN"/>
        </w:rPr>
        <w:t>175.</w:t>
      </w:r>
      <w:r>
        <w:rPr>
          <w:rFonts w:hint="eastAsia" w:eastAsia="仿宋" w:cs="Times New Roman"/>
          <w:spacing w:val="-6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pacing w:val="-6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4"/>
          <w:szCs w:val="34"/>
        </w:rPr>
        <w:t>、污水处理费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及对应专项债务收入安排的</w:t>
      </w:r>
      <w:r>
        <w:rPr>
          <w:rFonts w:hint="default" w:ascii="Times New Roman" w:hAnsi="Times New Roman" w:eastAsia="仿宋" w:cs="Times New Roman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40</w:t>
      </w:r>
      <w:r>
        <w:rPr>
          <w:rFonts w:hint="eastAsia" w:eastAsia="仿宋" w:cs="Times New Roman"/>
          <w:sz w:val="34"/>
          <w:szCs w:val="34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sz w:val="34"/>
          <w:szCs w:val="34"/>
        </w:rPr>
        <w:t>万元，为预算数的</w:t>
      </w:r>
      <w:r>
        <w:rPr>
          <w:rFonts w:hint="eastAsia" w:eastAsia="仿宋" w:cs="Times New Roman"/>
          <w:sz w:val="34"/>
          <w:szCs w:val="34"/>
          <w:lang w:val="en-US" w:eastAsia="zh-CN"/>
        </w:rPr>
        <w:t>49</w:t>
      </w:r>
      <w:r>
        <w:rPr>
          <w:rFonts w:hint="default" w:ascii="Times New Roman" w:hAnsi="Times New Roman" w:eastAsia="仿宋" w:cs="Times New Roman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3</w:t>
      </w:r>
      <w:r>
        <w:rPr>
          <w:rFonts w:hint="eastAsia" w:eastAsia="仿宋" w:cs="Times New Roman"/>
          <w:sz w:val="34"/>
          <w:szCs w:val="34"/>
          <w:lang w:val="en-US" w:eastAsia="zh-CN"/>
        </w:rPr>
        <w:t>19.8</w:t>
      </w:r>
      <w:r>
        <w:rPr>
          <w:rFonts w:hint="default" w:ascii="Times New Roman" w:hAnsi="Times New Roman" w:eastAsia="仿宋" w:cs="Times New Roman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4"/>
          <w:szCs w:val="34"/>
        </w:rPr>
        <w:t>、棚户区改造专项债券收入安排的支出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</w:t>
      </w:r>
      <w:r>
        <w:rPr>
          <w:rFonts w:hint="eastAsia" w:eastAsia="仿宋" w:cs="Times New Roman"/>
          <w:sz w:val="34"/>
          <w:szCs w:val="34"/>
          <w:lang w:val="en-US" w:eastAsia="zh-CN"/>
        </w:rPr>
        <w:t>89651</w:t>
      </w:r>
      <w:r>
        <w:rPr>
          <w:rFonts w:hint="default" w:ascii="Times New Roman" w:hAnsi="Times New Roman" w:eastAsia="仿宋" w:cs="Times New Roman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5</w:t>
      </w:r>
      <w:r>
        <w:rPr>
          <w:rFonts w:hint="eastAsia" w:eastAsia="仿宋" w:cs="Times New Roman"/>
          <w:sz w:val="34"/>
          <w:szCs w:val="34"/>
          <w:lang w:val="en-US" w:eastAsia="zh-CN"/>
        </w:rPr>
        <w:t>4.2</w:t>
      </w:r>
      <w:r>
        <w:rPr>
          <w:rFonts w:hint="default" w:ascii="Times New Roman" w:hAnsi="Times New Roman" w:eastAsia="仿宋" w:cs="Times New Roman"/>
          <w:sz w:val="34"/>
          <w:szCs w:val="34"/>
        </w:rPr>
        <w:t>%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，为上年决算数的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</w:t>
      </w:r>
      <w:r>
        <w:rPr>
          <w:rFonts w:hint="eastAsia" w:eastAsia="仿宋" w:cs="Times New Roman"/>
          <w:sz w:val="34"/>
          <w:szCs w:val="34"/>
          <w:lang w:val="en-US" w:eastAsia="zh-CN"/>
        </w:rPr>
        <w:t>22.5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%</w:t>
      </w:r>
      <w:r>
        <w:rPr>
          <w:rFonts w:hint="default" w:ascii="Times New Roman" w:hAnsi="Times New Roman" w:eastAsia="仿宋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4"/>
          <w:szCs w:val="34"/>
        </w:rPr>
        <w:t>、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其他</w:t>
      </w:r>
      <w:r>
        <w:rPr>
          <w:rFonts w:hint="default" w:ascii="Times New Roman" w:hAnsi="Times New Roman" w:eastAsia="仿宋" w:cs="Times New Roman"/>
          <w:sz w:val="34"/>
          <w:szCs w:val="34"/>
        </w:rPr>
        <w:t>地方自行试点项目收益专项债券收入安排的支出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</w:t>
      </w:r>
      <w:r>
        <w:rPr>
          <w:rFonts w:hint="eastAsia" w:eastAsia="仿宋" w:cs="Times New Roman"/>
          <w:sz w:val="34"/>
          <w:szCs w:val="34"/>
          <w:lang w:val="en-US" w:eastAsia="zh-CN"/>
        </w:rPr>
        <w:t>71463</w:t>
      </w:r>
      <w:r>
        <w:rPr>
          <w:rFonts w:hint="default" w:ascii="Times New Roman" w:hAnsi="Times New Roman" w:eastAsia="仿宋" w:cs="Times New Roman"/>
          <w:sz w:val="34"/>
          <w:szCs w:val="34"/>
        </w:rPr>
        <w:t>万元，为预算数的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4</w:t>
      </w:r>
      <w:r>
        <w:rPr>
          <w:rFonts w:hint="eastAsia" w:eastAsia="仿宋" w:cs="Times New Roman"/>
          <w:sz w:val="34"/>
          <w:szCs w:val="34"/>
          <w:lang w:val="en-US" w:eastAsia="zh-CN"/>
        </w:rPr>
        <w:t>6.2</w:t>
      </w:r>
      <w:r>
        <w:rPr>
          <w:rFonts w:hint="default" w:ascii="Times New Roman" w:hAnsi="Times New Roman" w:eastAsia="仿宋" w:cs="Times New Roman"/>
          <w:sz w:val="34"/>
          <w:szCs w:val="34"/>
        </w:rPr>
        <w:t>%，为上年决算数的</w:t>
      </w:r>
      <w:r>
        <w:rPr>
          <w:rFonts w:hint="eastAsia" w:eastAsia="仿宋" w:cs="Times New Roman"/>
          <w:sz w:val="34"/>
          <w:szCs w:val="34"/>
          <w:lang w:val="en-US" w:eastAsia="zh-CN"/>
        </w:rPr>
        <w:t>71.1</w:t>
      </w:r>
      <w:r>
        <w:rPr>
          <w:rFonts w:hint="default" w:ascii="Times New Roman" w:hAnsi="Times New Roman" w:eastAsia="仿宋" w:cs="Times New Roman"/>
          <w:sz w:val="34"/>
          <w:szCs w:val="3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大标宋简体" w:cs="Times New Roman"/>
          <w:color w:val="000000"/>
          <w:spacing w:val="-11"/>
          <w:sz w:val="36"/>
          <w:szCs w:val="36"/>
        </w:rPr>
      </w:pPr>
      <w:r>
        <w:rPr>
          <w:rFonts w:hint="eastAsia" w:eastAsia="仿宋" w:cs="Times New Roman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4"/>
          <w:szCs w:val="34"/>
        </w:rPr>
        <w:t>、彩票公益金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安排的</w:t>
      </w:r>
      <w:r>
        <w:rPr>
          <w:rFonts w:hint="default" w:ascii="Times New Roman" w:hAnsi="Times New Roman" w:eastAsia="仿宋" w:cs="Times New Roman"/>
          <w:sz w:val="34"/>
          <w:szCs w:val="34"/>
        </w:rPr>
        <w:t>支出</w:t>
      </w:r>
      <w:r>
        <w:rPr>
          <w:rFonts w:hint="default" w:ascii="Times New Roman" w:hAnsi="Times New Roman" w:eastAsia="仿宋" w:cs="Times New Roman"/>
          <w:sz w:val="34"/>
          <w:szCs w:val="34"/>
          <w:lang w:eastAsia="zh-CN"/>
        </w:rPr>
        <w:t>完成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3</w:t>
      </w:r>
      <w:r>
        <w:rPr>
          <w:rFonts w:hint="eastAsia" w:eastAsia="仿宋" w:cs="Times New Roman"/>
          <w:sz w:val="34"/>
          <w:szCs w:val="34"/>
          <w:lang w:val="en-US" w:eastAsia="zh-CN"/>
        </w:rPr>
        <w:t>647</w:t>
      </w:r>
      <w:r>
        <w:rPr>
          <w:rFonts w:hint="default" w:ascii="Times New Roman" w:hAnsi="Times New Roman" w:eastAsia="仿宋" w:cs="Times New Roman"/>
          <w:sz w:val="34"/>
          <w:szCs w:val="34"/>
        </w:rPr>
        <w:t>万元，为预算数的</w:t>
      </w:r>
      <w:r>
        <w:rPr>
          <w:rFonts w:hint="eastAsia" w:eastAsia="仿宋" w:cs="Times New Roman"/>
          <w:sz w:val="34"/>
          <w:szCs w:val="34"/>
          <w:lang w:val="en-US" w:eastAsia="zh-CN"/>
        </w:rPr>
        <w:t>37.1</w:t>
      </w:r>
      <w:r>
        <w:rPr>
          <w:rFonts w:hint="default" w:ascii="Times New Roman" w:hAnsi="Times New Roman" w:eastAsia="仿宋" w:cs="Times New Roman"/>
          <w:sz w:val="34"/>
          <w:szCs w:val="34"/>
        </w:rPr>
        <w:t>%，为上年决算数的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</w:t>
      </w:r>
      <w:r>
        <w:rPr>
          <w:rFonts w:hint="eastAsia" w:eastAsia="仿宋" w:cs="Times New Roman"/>
          <w:sz w:val="34"/>
          <w:szCs w:val="34"/>
          <w:lang w:val="en-US" w:eastAsia="zh-CN"/>
        </w:rPr>
        <w:t>68.6</w:t>
      </w:r>
      <w:r>
        <w:rPr>
          <w:rFonts w:hint="default" w:ascii="Times New Roman" w:hAnsi="Times New Roman" w:eastAsia="仿宋" w:cs="Times New Roman"/>
          <w:sz w:val="34"/>
          <w:szCs w:val="34"/>
        </w:rPr>
        <w:t>%。</w:t>
      </w:r>
      <w:bookmarkStart w:id="6" w:name="_Toc446057900"/>
      <w:r>
        <w:rPr>
          <w:rFonts w:hint="default" w:ascii="Times New Roman" w:hAnsi="Times New Roman" w:eastAsia="方正大标宋简体" w:cs="Times New Roman"/>
          <w:color w:val="000000"/>
          <w:spacing w:val="-11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2022年市级政府性基金预算收入执行情况表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单位：万元</w:t>
      </w:r>
    </w:p>
    <w:tbl>
      <w:tblPr>
        <w:tblStyle w:val="10"/>
        <w:tblW w:w="9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2"/>
        <w:gridCol w:w="1512"/>
        <w:gridCol w:w="1163"/>
        <w:gridCol w:w="1365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为预算数%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国有土地收益基金收入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2,800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4,665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166.6%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农业土地开发资金收入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1,663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184.8%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国有土地使用权出让收入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200,000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199,987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城市基础设施配套费收入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10,000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2,269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22.7%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污水处理费收入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1,900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3,342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175.9%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专项债务对应项目专项收入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215,600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212,126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98.4%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908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备注：年初预算数为市级人代会批准的年初预算数。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color w:val="000000"/>
          <w:spacing w:val="-11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color w:val="000000"/>
          <w:spacing w:val="-11"/>
          <w:sz w:val="36"/>
          <w:szCs w:val="36"/>
        </w:rPr>
        <w:br w:type="page"/>
      </w:r>
    </w:p>
    <w:p>
      <w:pPr>
        <w:jc w:val="center"/>
        <w:rPr>
          <w:rFonts w:hint="default" w:ascii="Times New Roman" w:hAnsi="Times New Roman" w:cs="Times New Roman"/>
          <w:color w:val="000000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年市级政府性基金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color w:val="000000"/>
          <w:spacing w:val="-17"/>
          <w:sz w:val="40"/>
          <w:szCs w:val="40"/>
        </w:rPr>
        <w:t>收入执行情况的说明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年市级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政府性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基金预算收入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预算数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以下简称预算数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15600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万元,实际完成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212126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98.4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72.1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2022年市级政府性基金预算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  <w:t>主要项目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国有土地收益基金收入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4665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166.6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80.6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、农业土地开发资金收入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1663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184.8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89.9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bookmarkStart w:id="7" w:name="_Toc446057902"/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、国有土地使用权出让收入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199987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72.7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、城市基础设施配套费收入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2269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22.7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、污水处理费收入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3342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175.9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84.5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0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pStyle w:val="3"/>
        <w:spacing w:after="156"/>
        <w:rPr>
          <w:rFonts w:hint="default" w:ascii="Times New Roman" w:hAnsi="Times New Roman" w:eastAsia="仿宋" w:cs="Times New Roman"/>
          <w:color w:val="FF0000"/>
          <w:spacing w:val="-20"/>
          <w:sz w:val="40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tabs>
          <w:tab w:val="left" w:pos="29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2022年市级政府性基金预算支出执行情况表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单位：万元</w:t>
      </w:r>
    </w:p>
    <w:tbl>
      <w:tblPr>
        <w:tblStyle w:val="10"/>
        <w:tblW w:w="8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7"/>
        <w:gridCol w:w="1500"/>
        <w:gridCol w:w="1302"/>
        <w:gridCol w:w="923"/>
        <w:gridCol w:w="1039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163,172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18,172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9,759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国有土地使用权出让及专项债务收入安排的支出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148,150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13,093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7,036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国有土地收益基金及专项债务收入安排的支出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农业土地开发资金及专项债务收入安排的支出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城市基础设施配套费及专项债务收入安排的支出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5,172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污水处理费及专项债务收入安排的支出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6,850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3,342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29.5%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1516.9%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23,160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70,832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30,644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43.3%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其他地方自行试点项目收益专项债券收入安排的支出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20,000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68,000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30,347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44.6%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彩票公益金安排的支出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10,639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11,713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11,713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抗疫国债支出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196,971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124,759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56,105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758" w:type="dxa"/>
            <w:gridSpan w:val="6"/>
            <w:vMerge w:val="restar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备注：1.年初预算数为市级人代会批准的年初预算数。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2.调整预算数为年初预算加中央、省追加，上年结转，政府债务收入等安排的支出。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8758" w:type="dxa"/>
            <w:gridSpan w:val="6"/>
            <w:vMerge w:val="continue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方正大标宋简体" w:cs="Times New Roman"/>
          <w:spacing w:val="-17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spacing w:val="-17"/>
          <w:sz w:val="40"/>
          <w:szCs w:val="40"/>
        </w:rPr>
        <w:br w:type="page"/>
      </w:r>
    </w:p>
    <w:p>
      <w:pPr>
        <w:rPr>
          <w:rFonts w:hint="default" w:ascii="Times New Roman" w:hAnsi="Times New Roman" w:cs="Times New Roman"/>
          <w:spacing w:val="-17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spacing w:val="-17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spacing w:val="-17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spacing w:val="-17"/>
          <w:sz w:val="40"/>
          <w:szCs w:val="40"/>
        </w:rPr>
        <w:t>年市级政府性基金</w:t>
      </w:r>
      <w:r>
        <w:rPr>
          <w:rFonts w:hint="default" w:ascii="Times New Roman" w:hAnsi="Times New Roman" w:eastAsia="方正大标宋简体" w:cs="Times New Roman"/>
          <w:spacing w:val="-17"/>
          <w:sz w:val="40"/>
          <w:szCs w:val="40"/>
          <w:lang w:eastAsia="zh-CN"/>
        </w:rPr>
        <w:t>预算</w:t>
      </w:r>
      <w:r>
        <w:rPr>
          <w:rFonts w:hint="default" w:ascii="Times New Roman" w:hAnsi="Times New Roman" w:eastAsia="方正大标宋简体" w:cs="Times New Roman"/>
          <w:spacing w:val="-17"/>
          <w:sz w:val="40"/>
          <w:szCs w:val="40"/>
        </w:rPr>
        <w:t>支出执行情况的说明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年市级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政府性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基金预算支出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预算数为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196971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调整后市级支出预算数为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124759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万元。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2022年市级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实际完成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6105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万元，为调整预算数（以下简称预算数）的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51.8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4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2022年市级政府性基金预算</w:t>
      </w: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  <w:t>支出主要项目执行情况</w:t>
      </w: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" w:cs="Times New Roman"/>
          <w:color w:val="000000" w:themeColor="text1"/>
          <w:spacing w:val="11"/>
          <w:sz w:val="34"/>
          <w:szCs w:val="3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国有土地使用权出让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及专项债务收入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安排的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7036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53.7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城市基础设施配套费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及专项债务收入安排的支出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1737万元，为预算数的100%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、污水处理费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及专项债务收入安排的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986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29.5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1516.9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地方自行试点项目收益专项债券收入安排的支出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30347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44.6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64.6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、彩票公益金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安排的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97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万元，为预算数的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10.5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8.4</w:t>
      </w:r>
      <w:r>
        <w:rPr>
          <w:rFonts w:hint="default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6、债务付息支出完成11713万元，为预算数的100%，为上年决算数的145.1%。</w:t>
      </w: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2022年全市国有资本经营预算收支执行情况总表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单位:万元</w:t>
      </w:r>
    </w:p>
    <w:tbl>
      <w:tblPr>
        <w:tblStyle w:val="10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584"/>
        <w:gridCol w:w="2664"/>
        <w:gridCol w:w="2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收入执行数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解决历史遗留问题及改革成本支出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股利、股息收入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国有企业资本金注入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产权转让收入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国有企业政策性补贴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清算收入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金融国有资本经营预算支出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中央专项转移支付收入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补助下级支出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52324</w:t>
            </w:r>
          </w:p>
        </w:tc>
      </w:tr>
    </w:tbl>
    <w:p>
      <w:pPr>
        <w:rPr>
          <w:rFonts w:hint="default" w:ascii="Times New Roman" w:hAnsi="Times New Roman" w:eastAsia="方正大标宋简体" w:cs="Times New Roman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spacing w:val="-11"/>
          <w:sz w:val="36"/>
          <w:szCs w:val="36"/>
        </w:rPr>
      </w:pPr>
    </w:p>
    <w:p>
      <w:pPr>
        <w:rPr>
          <w:rFonts w:hint="default" w:ascii="Times New Roman" w:hAnsi="Times New Roman" w:eastAsia="方正大标宋简体" w:cs="Times New Roman"/>
          <w:spacing w:val="-23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spacing w:val="-23"/>
          <w:sz w:val="40"/>
          <w:szCs w:val="40"/>
        </w:rPr>
      </w:pPr>
    </w:p>
    <w:p>
      <w:pPr>
        <w:rPr>
          <w:rFonts w:hint="default" w:ascii="Times New Roman" w:hAnsi="Times New Roman" w:eastAsia="方正大标宋简体" w:cs="Times New Roman"/>
          <w:spacing w:val="-23"/>
          <w:sz w:val="40"/>
          <w:szCs w:val="40"/>
        </w:rPr>
      </w:pPr>
      <w:r>
        <w:rPr>
          <w:rFonts w:hint="default" w:ascii="Times New Roman" w:hAnsi="Times New Roman" w:eastAsia="方正大标宋简体" w:cs="Times New Roman"/>
          <w:spacing w:val="-23"/>
          <w:sz w:val="40"/>
          <w:szCs w:val="40"/>
        </w:rPr>
        <w:t>关于202</w:t>
      </w:r>
      <w:r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spacing w:val="-23"/>
          <w:sz w:val="40"/>
          <w:szCs w:val="40"/>
        </w:rPr>
        <w:t>年全市国有资本经营预算收支执行情况的说明</w:t>
      </w:r>
    </w:p>
    <w:p>
      <w:pPr>
        <w:spacing w:line="600" w:lineRule="exact"/>
        <w:jc w:val="both"/>
        <w:rPr>
          <w:rFonts w:hint="default" w:ascii="Times New Roman" w:hAnsi="Times New Roman" w:eastAsia="仿宋" w:cs="Times New Roman"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汇总全市各级人代会批准的202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年全市国有资本经营预算收入年初预算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  <w:t>55098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万元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  <w:t>实际完成51257万元，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eastAsia="zh-CN"/>
        </w:rPr>
        <w:t>中央专项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转移支付收入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val="en-US" w:eastAsia="zh-CN"/>
        </w:rPr>
        <w:t>850万元，上年结转收入217万元，收入总计完成52324万元，为预算的94.97%。年初支出预算55098万元，实际完成7238万元，调出资金45040万元，年终结余46万元，支出总计完成52324万元，为预算的94.97%。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6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6"/>
          <w:szCs w:val="36"/>
          <w:lang w:val="en-US" w:eastAsia="zh-CN"/>
        </w:rPr>
        <w:t>2022年市级国有资本经营预算收支执行情况总表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单位:万元</w:t>
      </w:r>
    </w:p>
    <w:tbl>
      <w:tblPr>
        <w:tblStyle w:val="10"/>
        <w:tblW w:w="91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504"/>
        <w:gridCol w:w="277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收入执行数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解决历史遗留问题及改革成本支出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股利、股息收入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国有企业资本金注入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产权转让收入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国有企业政策性补贴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清算收入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金融国有资本经营预算支出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其他国有资本经营预算支出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中央专项转移支付收入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补助下级支出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000000"/>
        </w:rPr>
      </w:pPr>
    </w:p>
    <w:p>
      <w:pPr>
        <w:rPr>
          <w:rFonts w:hint="default" w:ascii="Times New Roman" w:hAnsi="Times New Roman" w:eastAsia="仿宋" w:cs="Times New Roman"/>
          <w:color w:val="000000"/>
        </w:rPr>
      </w:pPr>
    </w:p>
    <w:p>
      <w:pPr>
        <w:rPr>
          <w:rFonts w:hint="default" w:ascii="Times New Roman" w:hAnsi="Times New Roman" w:eastAsia="仿宋" w:cs="Times New Roman"/>
          <w:color w:val="000000"/>
        </w:rPr>
      </w:pPr>
    </w:p>
    <w:p>
      <w:pPr>
        <w:rPr>
          <w:rFonts w:hint="default" w:ascii="Times New Roman" w:hAnsi="Times New Roman" w:eastAsia="仿宋" w:cs="Times New Roman"/>
          <w:color w:val="000000"/>
        </w:rPr>
        <w:sectPr>
          <w:footerReference r:id="rId6" w:type="default"/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eastAsia="zh-CN"/>
        </w:rPr>
      </w:pPr>
      <w:r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eastAsia="zh-CN"/>
        </w:rPr>
        <w:t>关于2022年市级国有资本经营预算收支执行情况的说明</w:t>
      </w:r>
    </w:p>
    <w:p>
      <w:pPr>
        <w:autoSpaceDE w:val="0"/>
        <w:autoSpaceDN w:val="0"/>
        <w:adjustRightInd w:val="0"/>
        <w:snapToGrid w:val="0"/>
        <w:spacing w:line="600" w:lineRule="exact"/>
        <w:ind w:firstLine="680" w:firstLineChars="200"/>
        <w:rPr>
          <w:rFonts w:hint="default" w:ascii="Times New Roman" w:hAnsi="Times New Roman" w:eastAsia="仿宋" w:cs="Times New Roman"/>
          <w:color w:val="000000"/>
          <w:sz w:val="34"/>
          <w:szCs w:val="34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80" w:firstLineChars="200"/>
        <w:rPr>
          <w:rFonts w:hint="default" w:ascii="Times New Roman" w:hAnsi="Times New Roman" w:eastAsia="仿宋" w:cs="Times New Roman"/>
          <w:lang w:eastAsia="zh-CN"/>
        </w:rPr>
        <w:sectPr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市人大会议批准的2022年市本级国有资本经营预算收入年初预算4092万元，实际完成利润收入611万元，股利、股息收入607万元，其他国有资本经营预算收入7万元，中央专项转移支付46万元，上年结转收入15万元，收入总计完成1286万元，为预算的31.43%。主要原因是疫情因素影响，经济形势不景气，国有企业经营情况不佳，利润减少。支出预算4092万元，实际完成15万元，调出资金1225万元，年终结余46万元，支出总计完成1286万元，为预算的31.43%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  <w:lang w:eastAsia="zh-CN"/>
        </w:rPr>
        <w:t>。</w:t>
      </w: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2022年全市社会保险基金预算收支执行情况总表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单位:万元</w:t>
      </w:r>
    </w:p>
    <w:tbl>
      <w:tblPr>
        <w:tblStyle w:val="10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4"/>
        <w:gridCol w:w="1161"/>
        <w:gridCol w:w="1197"/>
        <w:gridCol w:w="2185"/>
        <w:gridCol w:w="1185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城乡居民基本养老保险基金收入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71070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65776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城乡居民基本养老保险基金支出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48955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机关事业单位基本养老保险基金收入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201441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207,896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193567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194,021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城镇职工基本医疗保险（含生育保险）基金收入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159642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160,318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城镇职工基本医疗保险基金支出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146147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148,269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城乡居民基本医疗保险基金收入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161820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153,202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152318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170,990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工伤保险基金收入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6098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6,452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5837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失业保险基金收入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1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600,071 </w:t>
            </w:r>
          </w:p>
        </w:tc>
        <w:tc>
          <w:tcPr>
            <w:tcW w:w="11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593,644 </w:t>
            </w:r>
          </w:p>
        </w:tc>
        <w:tc>
          <w:tcPr>
            <w:tcW w:w="2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546,824 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563,844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462,909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年末滚存结余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492,709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入 合 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600,071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1,056,553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出 总 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546,824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1,056,553</w:t>
            </w:r>
          </w:p>
        </w:tc>
      </w:tr>
    </w:tbl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  <w:sectPr>
          <w:type w:val="continuous"/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  <w:t>关于2022年全市社会保险基金预算收支执行情况的说明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</w:pPr>
    </w:p>
    <w:p>
      <w:pPr>
        <w:autoSpaceDN w:val="0"/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4"/>
        </w:rPr>
      </w:pP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汇总全市各级人代会批准的2022年全市社会保险基金预算收入年初预算600071万元，实际完成593644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万</w:t>
      </w: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元，为预算的99%，增长3.6%。支出年初预算546824万元，实际完成563844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万</w:t>
      </w: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元，为预算的103.1%，增长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7.9</w:t>
      </w: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%。年度收支结余29800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万</w:t>
      </w: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元，年末滚存结余492709</w:t>
      </w:r>
      <w:r>
        <w:rPr>
          <w:rFonts w:hint="default" w:ascii="Times New Roman" w:hAnsi="Times New Roman" w:eastAsia="仿宋" w:cs="Times New Roman"/>
          <w:color w:val="000000"/>
          <w:sz w:val="34"/>
          <w:szCs w:val="34"/>
        </w:rPr>
        <w:t>万</w:t>
      </w: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元。</w:t>
      </w: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sectPr>
          <w:pgSz w:w="11906" w:h="16838"/>
          <w:pgMar w:top="1985" w:right="1644" w:bottom="1985" w:left="1644" w:header="851" w:footer="1531" w:gutter="0"/>
          <w:pgNumType w:fmt="decimal"/>
          <w:cols w:space="720" w:num="1"/>
          <w:docGrid w:type="lines" w:linePitch="312" w:charSpace="0"/>
        </w:sectPr>
      </w:pPr>
    </w:p>
    <w:tbl>
      <w:tblPr>
        <w:tblStyle w:val="10"/>
        <w:tblW w:w="8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1"/>
        <w:gridCol w:w="982"/>
        <w:gridCol w:w="1057"/>
        <w:gridCol w:w="2149"/>
        <w:gridCol w:w="946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8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2022年市级社会保险基金预算收支执行情况总表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858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机关事业单位基本养老保险基金收入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201,441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207,896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194,021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城镇职工基本医疗保险基金收入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159,642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160,318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城镇职工基本医疗保险基金支出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148,269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城乡居民基本医疗保险基金收入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161,820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153,202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152318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170,990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工伤保险基金收入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6,098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6,452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工伤保险基金支出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失业保险基金收入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失业保险基金支出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24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9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529,001</w:t>
            </w:r>
          </w:p>
        </w:tc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527,868</w:t>
            </w:r>
          </w:p>
        </w:tc>
        <w:tc>
          <w:tcPr>
            <w:tcW w:w="21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9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497869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516,631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303,389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年末滚存结余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314,626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831,257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831,257</w:t>
            </w:r>
          </w:p>
        </w:tc>
      </w:tr>
    </w:tbl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方正大标宋简体" w:cs="Times New Roman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pacing w:val="-23"/>
          <w:sz w:val="40"/>
          <w:szCs w:val="40"/>
          <w:lang w:val="en-US" w:eastAsia="zh-CN"/>
        </w:rPr>
        <w:t>关于2022年市级社会保险基金预算收支执行情况的说明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</w:pPr>
    </w:p>
    <w:p>
      <w:pPr>
        <w:autoSpaceDN w:val="0"/>
        <w:spacing w:line="560" w:lineRule="exact"/>
        <w:ind w:firstLine="680" w:firstLineChars="200"/>
        <w:rPr>
          <w:rFonts w:hint="eastAsia" w:ascii="Times New Roman" w:hAnsi="Times New Roman" w:eastAsia="仿宋" w:cs="Times New Roman"/>
          <w:color w:val="000000"/>
          <w:sz w:val="34"/>
          <w:szCs w:val="34"/>
        </w:rPr>
      </w:pPr>
      <w:r>
        <w:rPr>
          <w:rFonts w:hint="eastAsia" w:ascii="Times New Roman" w:hAnsi="Times New Roman" w:eastAsia="仿宋" w:cs="Times New Roman"/>
          <w:color w:val="000000"/>
          <w:sz w:val="34"/>
          <w:szCs w:val="34"/>
        </w:rPr>
        <w:t>市七届人大九次会议批准的2022年市本级社会保险基金预算收入预算529001万元，实际完成527868万元，为预算的99.8%，增长4.3%。支出预算497869万元，实际完成516631万元，为预算的103.8%，增长8%。年度收支结余11237万元，年末滚存结余314626万元。</w:t>
      </w:r>
    </w:p>
    <w:p>
      <w:pPr>
        <w:autoSpaceDN w:val="0"/>
        <w:spacing w:line="560" w:lineRule="exact"/>
        <w:ind w:firstLine="680" w:firstLineChars="200"/>
        <w:rPr>
          <w:rFonts w:hint="default" w:ascii="Times New Roman" w:hAnsi="Times New Roman" w:eastAsia="仿宋" w:cs="Times New Roman"/>
          <w:color w:val="000000"/>
          <w:sz w:val="34"/>
          <w:szCs w:val="34"/>
        </w:rPr>
      </w:pPr>
    </w:p>
    <w:sectPr>
      <w:pgSz w:w="11906" w:h="16838"/>
      <w:pgMar w:top="1985" w:right="1644" w:bottom="1985" w:left="1644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val="en-US" w:eastAsia="zh-CN"/>
                            </w:rPr>
                            <w:t>15-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val="en-US" w:eastAsia="zh-CN"/>
                      </w:rPr>
                      <w:t>15-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val="en-US" w:eastAsia="zh-CN"/>
                            </w:rPr>
                            <w:t>15-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t>25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val="en-US" w:eastAsia="zh-CN"/>
                      </w:rPr>
                      <w:t>15-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t>25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val="en-US" w:eastAsia="zh-CN"/>
                            </w:rPr>
                            <w:t>15-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val="en-US" w:eastAsia="zh-CN"/>
                      </w:rPr>
                      <w:t>15-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eastAsia="zh-CN"/>
                      </w:rPr>
                      <w:t>4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2CD42"/>
    <w:multiLevelType w:val="singleLevel"/>
    <w:tmpl w:val="4F92CD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DcyN2Q5ZDQ4YjE1NjQyYTgxYjgwNWI4NThjMWYifQ=="/>
  </w:docVars>
  <w:rsids>
    <w:rsidRoot w:val="00000000"/>
    <w:rsid w:val="015D150F"/>
    <w:rsid w:val="01830B9E"/>
    <w:rsid w:val="02403129"/>
    <w:rsid w:val="02AB7358"/>
    <w:rsid w:val="03845E94"/>
    <w:rsid w:val="0854761F"/>
    <w:rsid w:val="0B11459B"/>
    <w:rsid w:val="0BE3282F"/>
    <w:rsid w:val="0D594196"/>
    <w:rsid w:val="0D6D60FA"/>
    <w:rsid w:val="0EB91375"/>
    <w:rsid w:val="11705844"/>
    <w:rsid w:val="12FE16DE"/>
    <w:rsid w:val="130865C9"/>
    <w:rsid w:val="135443C6"/>
    <w:rsid w:val="14244330"/>
    <w:rsid w:val="15224288"/>
    <w:rsid w:val="186D7BD2"/>
    <w:rsid w:val="18C42DAA"/>
    <w:rsid w:val="195B5257"/>
    <w:rsid w:val="19B26D75"/>
    <w:rsid w:val="1CDB7762"/>
    <w:rsid w:val="1E0D6B41"/>
    <w:rsid w:val="1F6B4EEC"/>
    <w:rsid w:val="23134287"/>
    <w:rsid w:val="235758C3"/>
    <w:rsid w:val="24260712"/>
    <w:rsid w:val="24820816"/>
    <w:rsid w:val="26597CF6"/>
    <w:rsid w:val="2C45155C"/>
    <w:rsid w:val="2C4F6E40"/>
    <w:rsid w:val="2C7135FC"/>
    <w:rsid w:val="2CF71984"/>
    <w:rsid w:val="2D5D71AD"/>
    <w:rsid w:val="313622DC"/>
    <w:rsid w:val="327028F4"/>
    <w:rsid w:val="347A40F6"/>
    <w:rsid w:val="368F2AF3"/>
    <w:rsid w:val="38423F1C"/>
    <w:rsid w:val="38716D99"/>
    <w:rsid w:val="38814B43"/>
    <w:rsid w:val="39513AA6"/>
    <w:rsid w:val="39E17AF7"/>
    <w:rsid w:val="39F023E7"/>
    <w:rsid w:val="3B6B38F6"/>
    <w:rsid w:val="3D693BCA"/>
    <w:rsid w:val="3E1B382D"/>
    <w:rsid w:val="43053FFD"/>
    <w:rsid w:val="43537F07"/>
    <w:rsid w:val="44E85A94"/>
    <w:rsid w:val="49ED4CD1"/>
    <w:rsid w:val="4AFB207F"/>
    <w:rsid w:val="4D365FCF"/>
    <w:rsid w:val="4D4205D0"/>
    <w:rsid w:val="4F3C3B58"/>
    <w:rsid w:val="50852DDA"/>
    <w:rsid w:val="51D61ADF"/>
    <w:rsid w:val="535339D2"/>
    <w:rsid w:val="543017D0"/>
    <w:rsid w:val="56532F7E"/>
    <w:rsid w:val="58AB41EB"/>
    <w:rsid w:val="58B32745"/>
    <w:rsid w:val="59EE6FA4"/>
    <w:rsid w:val="5A03767E"/>
    <w:rsid w:val="5B7246E1"/>
    <w:rsid w:val="5E6662B8"/>
    <w:rsid w:val="60BE4BB6"/>
    <w:rsid w:val="60E6386B"/>
    <w:rsid w:val="61F725B7"/>
    <w:rsid w:val="622577E2"/>
    <w:rsid w:val="64B522D3"/>
    <w:rsid w:val="64D34688"/>
    <w:rsid w:val="65FD7046"/>
    <w:rsid w:val="660224EF"/>
    <w:rsid w:val="697940AF"/>
    <w:rsid w:val="6A0C60E1"/>
    <w:rsid w:val="6A65796B"/>
    <w:rsid w:val="6AAC1524"/>
    <w:rsid w:val="6B8A5646"/>
    <w:rsid w:val="6C11045E"/>
    <w:rsid w:val="6CCA1B86"/>
    <w:rsid w:val="6D014FD5"/>
    <w:rsid w:val="6F9F3145"/>
    <w:rsid w:val="6FB31FEA"/>
    <w:rsid w:val="73437865"/>
    <w:rsid w:val="753B55BD"/>
    <w:rsid w:val="76044655"/>
    <w:rsid w:val="760D0993"/>
    <w:rsid w:val="79A06B8F"/>
    <w:rsid w:val="7A1070EB"/>
    <w:rsid w:val="7B8006E2"/>
    <w:rsid w:val="7C5B0983"/>
    <w:rsid w:val="7CE33636"/>
    <w:rsid w:val="7D80256A"/>
    <w:rsid w:val="7F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afterLines="50" w:line="560" w:lineRule="exact"/>
      <w:jc w:val="center"/>
      <w:outlineLvl w:val="0"/>
    </w:pPr>
    <w:rPr>
      <w:rFonts w:eastAsia="黑体"/>
      <w:bCs/>
      <w:sz w:val="36"/>
      <w:szCs w:val="36"/>
    </w:rPr>
  </w:style>
  <w:style w:type="paragraph" w:styleId="4">
    <w:name w:val="heading 2"/>
    <w:basedOn w:val="1"/>
    <w:next w:val="1"/>
    <w:qFormat/>
    <w:uiPriority w:val="99"/>
    <w:pPr>
      <w:spacing w:line="640" w:lineRule="exact"/>
      <w:jc w:val="center"/>
      <w:outlineLvl w:val="1"/>
    </w:pPr>
    <w:rPr>
      <w:rFonts w:eastAsia="方正大标宋简体"/>
      <w:bCs/>
      <w:sz w:val="40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font0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8756</Words>
  <Characters>13770</Characters>
  <Lines>0</Lines>
  <Paragraphs>0</Paragraphs>
  <TotalTime>9</TotalTime>
  <ScaleCrop>false</ScaleCrop>
  <LinksUpToDate>false</LinksUpToDate>
  <CharactersWithSpaces>14380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</dc:creator>
  <cp:lastModifiedBy>Administrator</cp:lastModifiedBy>
  <cp:lastPrinted>2023-01-02T12:19:00Z</cp:lastPrinted>
  <dcterms:modified xsi:type="dcterms:W3CDTF">2023-01-02T16:27:31Z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151B0518E1D04166AECDE355E32B233C</vt:lpwstr>
  </property>
</Properties>
</file>